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655—12.2</w:t>
      </w:r>
      <w:r>
        <w:rPr>
          <w:rFonts w:ascii="Times New Roman" w:hAnsi="Times New Roman"/>
          <w:b/>
          <w:i w:val="false"/>
          <w:color w:val="000000"/>
          <w:sz w:val="22"/>
        </w:rPr>
        <w:t xml:space="preserve">(509,514,514B,514F)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A “certified registered nurse” is a registered nurse with an active license in Iowa or who is currently licensed in another state and recognized for licensure in Iowa, pursuant to the nurse licensure compact contained in Iowa Code chapter </w:t>
      </w:r>
      <w:hyperlink r:id="rId4">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who possesses evidence of certification by a national certification organization or successor agency as recognized by the board in </w:t>
      </w:r>
      <w:hyperlink r:id="rId5">
        <w:r>
          <w:rPr>
            <w:rStyle w:val="Hyperlink"/>
            <w:rFonts w:ascii="Times New Roman" w:hAnsi="Times New Roman"/>
            <w:b w:val="false"/>
            <w:i w:val="false"/>
            <w:color w:val="000000"/>
            <w:sz w:val="22"/>
          </w:rPr>
          <w:t>655—12.3(509,514,514B)</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E.pdf" Type="http://schemas.openxmlformats.org/officeDocument/2006/relationships/hyperlink" Id="rId4"/>
    <Relationship TargetMode="External" Target="https://www.legis.iowa.gov/docs/iac/rule/655.12.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