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650—9.9</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of dental examiners shall not issue a declaratory order where prohibited by </w:t>
      </w:r>
      <w:r>
        <w:rPr>
          <w:rFonts w:ascii="Times New Roman" w:hAnsi="Times New Roman"/>
          <w:b w:val="false"/>
          <w:i w:val="false"/>
          <w:color w:val="000000"/>
          <w:sz w:val="22"/>
        </w:rPr>
        <w:t>1998 Iowa Acts, chapter 1202, section 13(1)</w:t>
      </w:r>
      <w:r>
        <w:rPr>
          <w:rFonts w:ascii="Times New Roman" w:hAnsi="Times New Roman"/>
          <w:b w:val="false"/>
          <w:i w:val="false"/>
          <w:color w:val="000000"/>
          <w:sz w:val="22"/>
        </w:rPr>
        <w:t>, and may refuse to issue a declaratory order on some or all questions raised for the following reasons: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petition does not contain facts sufficient to demonstrate that the petitioner will be aggrieved or adversely affected by the failure of the board of dental examiners to issue an order.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board of dental examiners does not have jurisdiction over the questions presented in the petition.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questions presented by the petition are also presented in a current rule 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an agency decision already made.</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The petitioner requests the board of dental examiners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9.9(2)</w:t>
      </w:r>
      <w:r>
        <w:rPr>
          <w:rFonts w:ascii="Times New Roman" w:hAnsi="Times New Roman"/>
          <w:b w:val="false"/>
          <w:i w:val="false"/>
          <w:color w:val="000000"/>
          <w:sz w:val="22"/>
        </w:rPr>
        <w:t> </w:t>
      </w:r>
      <w:r>
        <w:rPr>
          <w:rFonts w:ascii="Times New Roman" w:hAnsi="Times New Roman"/>
          <w:b w:val="false"/>
          <w:i w:val="false"/>
          <w:color w:val="000000"/>
          <w:sz w:val="22"/>
        </w:rPr>
        <w:t>A refusal to issue a declaratory order must indicate the specific grounds for the refusal and constitutes final agency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9.9(3)</w:t>
      </w:r>
      <w:r>
        <w:rPr>
          <w:rFonts w:ascii="Times New Roman" w:hAnsi="Times New Roman"/>
          <w:b w:val="false"/>
          <w:i w:val="false"/>
          <w:color w:val="000000"/>
          <w:sz w:val="22"/>
        </w:rPr>
        <w:t> </w:t>
      </w:r>
      <w:r>
        <w:rPr>
          <w:rFonts w:ascii="Times New Roman" w:hAnsi="Times New Roman"/>
          <w:b w:val="false"/>
          <w:i w:val="false"/>
          <w:color w:val="000000"/>
          <w:sz w:val="22"/>
        </w:rPr>
        <w:t>Refusal to issue a declaratory order pursuant to this provision does not preclude the filing of a new petition that seeks to eliminate the grounds for the refusal to issue an order.</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