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650—9.1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Any person may file a petition with the board (which for purposes of this chapter means the board of dental examiners or as to matters exclusively involving dental hygiene or dental hygienists means the dental hygiene committee of the board of dental examiners) for a declaratory order as to the applicability to specified circumstances of a statute, rule, or order within the primary jurisdiction of the Board of Dental Examiners, 400 S.W. 8th Street, Suite D, Des Moines, Iowa 50309-4687. A petition is deemed filed when it is received by that office. The board of dental examiners shall provide the petitioner with a file-stamped copy of the petition if the petitioner provides the board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BOARD OF DENTAL EXAMINERS</w:t>
            </w:r>
          </w:p>
        </w:tc>
      </w:tr>
      <w:tr>
        <w:trPr>
          <w:trHeight w:val="112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provisions of law involved).</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96"/>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DECLARATORY ORDER</w:t>
            </w:r>
          </w:p>
        </w:tc>
      </w:tr>
    </w:tbl>
    <w:p>
      <w:pPr>
        <w:spacing w:before="0" w:after="0"/>
        <w:ind w:left="120"/>
        <w:jc w:val="left"/>
      </w:pPr>
      <w:r>
        <w:rPr>
          <w:rFonts w:ascii="Times New Roman" w:hAnsi="Times New Roman"/>
          <w:b w:val="false"/>
          <w:i w:val="false"/>
          <w:color w:val="000000"/>
          <w:sz w:val="22"/>
        </w:rPr>
        <w:t>The petition must provide the following information:</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left"/>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left"/>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left"/>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presented in the petition.</w:t>
      </w:r>
    </w:p>
    <w:p>
      <w:pPr>
        <w:spacing w:before="0" w:after="0"/>
        <w:ind w:left="120"/>
        <w:jc w:val="left"/>
      </w:pPr>
      <w:r>
        <w:rPr>
          <w:rFonts w:ascii="Times New Roman" w:hAnsi="Times New Roman"/>
          <w:b w:val="false"/>
          <w:i w:val="false"/>
          <w:color w:val="000000"/>
          <w:sz w:val="22"/>
        </w:rPr>
        <w:t>     8.   </w:t>
      </w:r>
      <w:r>
        <w:rPr>
          <w:rFonts w:ascii="Times New Roman" w:hAnsi="Times New Roman"/>
          <w:b w:val="false"/>
          <w:i w:val="false"/>
          <w:color w:val="000000"/>
          <w:sz w:val="22"/>
        </w:rPr>
        <w:t xml:space="preserve">Any request by petitioner for a meeting provided for by </w:t>
      </w:r>
      <w:hyperlink r:id="rId4">
        <w:r>
          <w:rPr>
            <w:rStyle w:val="Hyperlink"/>
            <w:rFonts w:ascii="Times New Roman" w:hAnsi="Times New Roman"/>
            <w:b w:val="false"/>
            <w:i w:val="false"/>
            <w:color w:val="000000"/>
            <w:sz w:val="22"/>
          </w:rPr>
          <w:t>650—9.7</w:t>
        </w:r>
      </w:hyperlink>
      <w:r>
        <w:rPr>
          <w:rFonts w:ascii="Times New Roman" w:hAnsi="Times New Roman"/>
          <w:b w:val="false"/>
          <w:i w:val="false"/>
          <w:color w:val="000000"/>
          <w:sz w:val="22"/>
        </w:rPr>
        <w:t>(17A).</w:t>
      </w:r>
    </w:p>
    <w:p>
      <w:pPr>
        <w:spacing w:before="0" w:after="0"/>
        <w:ind w:left="120"/>
        <w:jc w:val="left"/>
      </w:pP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50.9.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