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650—8.1</w:t>
      </w:r>
      <w:r>
        <w:rPr>
          <w:rFonts w:ascii="Times New Roman" w:hAnsi="Times New Roman"/>
          <w:b/>
          <w:i w:val="false"/>
          <w:color w:val="000000"/>
          <w:sz w:val="22"/>
        </w:rPr>
        <w:t xml:space="preserve">(68B) </w:t>
      </w:r>
      <w:r>
        <w:rPr>
          <w:rFonts w:ascii="Times New Roman" w:hAnsi="Times New Roman"/>
          <w:b/>
          <w:i w:val="false"/>
          <w:color w:val="000000"/>
          <w:sz w:val="22"/>
        </w:rPr>
        <w:t xml:space="preserve">Selling of goods or services by members of the board. </w:t>
      </w:r>
      <w:r>
        <w:rPr>
          <w:rFonts w:ascii="Times New Roman" w:hAnsi="Times New Roman"/>
          <w:b w:val="false"/>
          <w:i w:val="false"/>
          <w:color w:val="000000"/>
          <w:sz w:val="22"/>
        </w:rPr>
        <w:t>The board members shall not sell, either directly or indirectly, any goods or services to individuals, associations, or corporations that are subject to the regulatory authority of the department of public health except as authorized by this chapter.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