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650—7.4</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“a waiver” means action by the board that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Scope of rule. </w:t>
      </w:r>
      <w:r>
        <w:rPr>
          <w:rFonts w:ascii="Times New Roman" w:hAnsi="Times New Roman"/>
          <w:b w:val="false"/>
          <w:i w:val="false"/>
          <w:color w:val="000000"/>
          <w:sz w:val="22"/>
        </w:rPr>
        <w:t>This rule outlines generally applicable standards and a uniform process for the granting of an individual waiver from a rule adopted by the board in situations where no other more specifically applicable law provides for a waiver. To the extent another more specific provision of law governs the issuance of a waiver from a particular rule, the more specific provision shall supersede this rule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rule. </w:t>
      </w:r>
      <w:r>
        <w:rPr>
          <w:rFonts w:ascii="Times New Roman" w:hAnsi="Times New Roman"/>
          <w:b w:val="false"/>
          <w:i w:val="false"/>
          <w:color w:val="000000"/>
          <w:sz w:val="22"/>
        </w:rPr>
        <w:t>The board may grant a waiver from a rule only if the board has jurisdiction over the rule and the requested waiver is consistent with applicable statutes, constitutional provisions, or other provisions of law. The board may not waive requirements created or duties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In response to a petition, the board may in its sole discretion issue an order waiving in whole or in part the requirements of a rule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license, registration, certification, or permit. If the petition relates to an application for license, registration, certification, or permit, the petition shall be made in accordance with the filing requirements for the application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Contested cases. 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If the petition does not relate to an application or a pending contested case, the petition may be submitted to the board’s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is deemed filed when it is received at the board’s office. A petition may be filed using the online form, emailed to </w:t>
      </w:r>
      <w:hyperlink r:id="rId4">
        <w:r>
          <w:rPr>
            <w:rStyle w:val="Hyperlink"/>
            <w:rFonts w:ascii="Times New Roman" w:hAnsi="Times New Roman"/>
            <w:b w:val="false"/>
            <w:i w:val="false"/>
            <w:color w:val="000000"/>
            <w:sz w:val="22"/>
            <w:u w:val="single"/>
          </w:rPr>
          <w:t>IDB@iowa.gov</w:t>
        </w:r>
      </w:hyperlink>
      <w:r>
        <w:rPr>
          <w:rFonts w:ascii="Times New Roman" w:hAnsi="Times New Roman"/>
          <w:b w:val="false"/>
          <w:i w:val="false"/>
          <w:color w:val="000000"/>
          <w:sz w:val="22"/>
        </w:rPr>
        <w:t xml:space="preserve">, or mailed to the Iowa Dental Board, 400 S.W. 8th Street, Suite D, Des Moines, Iowa 50309-4687. The petition must include the content specified in </w:t>
      </w:r>
      <w:hyperlink r:id="rId5">
        <w:r>
          <w:rPr>
            <w:rStyle w:val="Hyperlink"/>
            <w:rFonts w:ascii="Times New Roman" w:hAnsi="Times New Roman"/>
            <w:b w:val="false"/>
            <w:i w:val="false"/>
            <w:color w:val="000000"/>
            <w:sz w:val="22"/>
          </w:rPr>
          <w:t>subrule 7.4(6)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telephone number of the person for whom a waiver is being requested and a reference to any related contested case. Also, the name, address, email address, and telephone number of the petitioner’s legal representative, if applicable,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subrule </w:t>
      </w:r>
      <w:hyperlink r:id="rId6">
        <w:r>
          <w:rPr>
            <w:rStyle w:val="Hyperlink"/>
            <w:rFonts w:ascii="Times New Roman" w:hAnsi="Times New Roman"/>
            <w:b w:val="false"/>
            <w:i w:val="false"/>
            <w:color w:val="000000"/>
            <w:sz w:val="22"/>
          </w:rPr>
          <w:t>7.4(4)</w:t>
        </w:r>
      </w:hyperlink>
      <w:r>
        <w:rPr>
          <w:rFonts w:ascii="Times New Roman" w:hAnsi="Times New Roman"/>
          <w:b w:val="false"/>
          <w:i w:val="false"/>
          <w:color w:val="000000"/>
          <w:sz w:val="22"/>
        </w:rPr>
        <w:t>. The petitioner shall attest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Prior to issuing an order granting or denying a waiver, the board may request additional information from the petitioner relative to the petition and surrounding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board shall provide public notice by including any petitions for waiver on the agenda of the board meeting during which the petition for waiver will be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Each petition for a waiver shall be evaluated by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 The board may issue a waiver in conjunction with an application that remains in place in perpetuity.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rule shall be transmitted to the petitioner or the person to whom the order pertains.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Delegation. </w:t>
      </w:r>
      <w:r>
        <w:rPr>
          <w:rFonts w:ascii="Times New Roman" w:hAnsi="Times New Roman"/>
          <w:b w:val="false"/>
          <w:i w:val="false"/>
          <w:color w:val="000000"/>
          <w:sz w:val="22"/>
        </w:rPr>
        <w:t>The board may authorize staff to administratively approve additional petitions for waiver under the same parameters as an approved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7.4(10)</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w:t>
      </w:r>
      <w:r>
        <w:rPr>
          <w:rFonts w:ascii="Times New Roman" w:hAnsi="Times New Roman"/>
          <w:b w:val="false"/>
          <w:i w:val="false"/>
          <w:color w:val="000000"/>
          <w:sz w:val="22"/>
        </w:rPr>
        <w:t> </w:t>
      </w:r>
      <w:r>
        <w:rPr>
          <w:rFonts w:ascii="Times New Roman" w:hAnsi="Times New Roman"/>
          <w:b w:val="false"/>
          <w:i/>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board shall make a submission on the Internet site established pursuant to Iowa Code section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and a citation to the statutory provisions implemented by these rules. The submission shall include a general summary of the reasons justifying the board’s action on waiver requests. If practical, the submission shall detail the extent to which the granting of a waiver has established a precedent for additional waivers and the extent to which the granting of waiver has affected the general applicability of the rule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waiver. </w:t>
      </w:r>
      <w:r>
        <w:rPr>
          <w:rFonts w:ascii="Times New Roman" w:hAnsi="Times New Roman"/>
          <w:b w:val="false"/>
          <w:i w:val="false"/>
          <w:color w:val="000000"/>
          <w:sz w:val="22"/>
        </w:rPr>
        <w:t>A waiver issued by the board pursuant to this rule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rule cited in the waiver has been amended since the waiver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7.4(13)</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a condition in a waiver order shall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7.4(14)</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only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a board’s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5722C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IDB@iowa.gov" Type="http://schemas.openxmlformats.org/officeDocument/2006/relationships/hyperlink" Id="rId4"/>
    <Relationship TargetMode="External" Target="https://www.legis.iowa.gov/docs/iac/rule/650.7.4.pdf" Type="http://schemas.openxmlformats.org/officeDocument/2006/relationships/hyperlink" Id="rId5"/>
    <Relationship TargetMode="External" Target="https://www.legis.iowa.gov/docs/iac/rule/650.7.4.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47.pdf" Type="http://schemas.openxmlformats.org/officeDocument/2006/relationships/hyperlink" Id="rId12"/>
    <Relationship TargetMode="External" Target="https://www.legis.iowa.gov/docs/ico/chapter/15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