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650—7.1</w:t>
      </w:r>
      <w:r>
        <w:rPr>
          <w:rFonts w:ascii="Times New Roman" w:hAnsi="Times New Roman"/>
          <w:b/>
          <w:i w:val="false"/>
          <w:color w:val="000000"/>
          <w:sz w:val="22"/>
        </w:rPr>
        <w:t xml:space="preserve">(17A,147,153) </w:t>
      </w:r>
      <w:r>
        <w:rPr>
          <w:rFonts w:ascii="Times New Roman" w:hAnsi="Times New Roman"/>
          <w:b/>
          <w:i w:val="false"/>
          <w:color w:val="000000"/>
          <w:sz w:val="22"/>
        </w:rPr>
        <w:t xml:space="preserve">Petition for rule making.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w:t>
      </w:r>
      <w:r>
        <w:rPr>
          <w:rFonts w:ascii="Times New Roman" w:hAnsi="Times New Roman"/>
          <w:b w:val="false"/>
          <w:i w:val="false"/>
          <w:color w:val="000000"/>
          <w:sz w:val="22"/>
        </w:rPr>
        <w:t> </w:t>
      </w:r>
      <w:r>
        <w:rPr>
          <w:rFonts w:ascii="Times New Roman" w:hAnsi="Times New Roman"/>
          <w:b w:val="false"/>
          <w:i w:val="false"/>
          <w:color w:val="000000"/>
          <w:sz w:val="22"/>
        </w:rPr>
        <w:t>An interested person may petition the board for the adoption, amendment or repeal of administrative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w:t>
      </w:r>
      <w:r>
        <w:rPr>
          <w:rFonts w:ascii="Times New Roman" w:hAnsi="Times New Roman"/>
          <w:b w:val="false"/>
          <w:i w:val="false"/>
          <w:color w:val="000000"/>
          <w:sz w:val="22"/>
        </w:rPr>
        <w:t> </w:t>
      </w:r>
      <w:r>
        <w:rPr>
          <w:rFonts w:ascii="Times New Roman" w:hAnsi="Times New Roman"/>
          <w:b w:val="false"/>
          <w:i w:val="false"/>
          <w:color w:val="000000"/>
          <w:sz w:val="22"/>
        </w:rPr>
        <w:t>The petition shall be in writing, signed by or on behalf of the petitioner, and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general statement of the rule the petitioner is requesting the board to adopt, amend, or repeal. Where amendment or repeal of an existing rule is sought, the rule number should be included but is not required. The petitioner is not required to enclose a draft of the proposed rule or proposed amendment being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statement of sufficient detail setting forth reasons for adoption, amendment, or repeal.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 showing how the petitioner would be affected by the requested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Name and address of petitioner.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w:t>
      </w:r>
      <w:r>
        <w:rPr>
          <w:rFonts w:ascii="Times New Roman" w:hAnsi="Times New Roman"/>
          <w:b w:val="false"/>
          <w:i w:val="false"/>
          <w:color w:val="000000"/>
          <w:sz w:val="22"/>
        </w:rPr>
        <w:t> </w:t>
      </w:r>
      <w:r>
        <w:rPr>
          <w:rFonts w:ascii="Times New Roman" w:hAnsi="Times New Roman"/>
          <w:b w:val="false"/>
          <w:i w:val="false"/>
          <w:color w:val="000000"/>
          <w:sz w:val="22"/>
        </w:rPr>
        <w:t>The petition is filed when it is received by the board. Within 14 days after the filing of a petition is received, the board shall submit a copy of the petition and any accompanying brief to the administrative rules coordinator and to the administrative rules review committee (ARRC).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w:t>
      </w:r>
      <w:r>
        <w:rPr>
          <w:rFonts w:ascii="Times New Roman" w:hAnsi="Times New Roman"/>
          <w:b w:val="false"/>
          <w:i w:val="false"/>
          <w:color w:val="000000"/>
          <w:sz w:val="22"/>
        </w:rPr>
        <w:t> </w:t>
      </w:r>
      <w:r>
        <w:rPr>
          <w:rFonts w:ascii="Times New Roman" w:hAnsi="Times New Roman"/>
          <w:b w:val="false"/>
          <w:i w:val="false"/>
          <w:color w:val="000000"/>
          <w:sz w:val="22"/>
        </w:rPr>
        <w:t>Upon receipt of the petition, the board shall take the petition under advisement. The board may request additional information from the petitioner or the board office. Upon request by the petitioner, the board shall schedule a brief and informal meeting between the petitioner and the board, a member of the board, or a member of board staff to discuss the petition. The board may also solicit comments from any person on the substance of the petition. Any person may submit to the board comments on the substance of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petition raises an issue regarding the practice of dental hygiene, the petition shall be referred to the dental hygiene committee for review. The dental hygiene committee shall review the petition and timely submit its recommendations to the board. The board’s review of the dental hygiene committee recommendation is subject to </w:t>
      </w:r>
      <w:hyperlink r:id="rId4">
        <w:r>
          <w:rPr>
            <w:rStyle w:val="Hyperlink"/>
            <w:rFonts w:ascii="Times New Roman" w:hAnsi="Times New Roman"/>
            <w:b w:val="false"/>
            <w:i w:val="false"/>
            <w:color w:val="000000"/>
            <w:sz w:val="22"/>
          </w:rPr>
          <w:t>650—Chapter 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w:t>
      </w:r>
      <w:r>
        <w:rPr>
          <w:rFonts w:ascii="Times New Roman" w:hAnsi="Times New Roman"/>
          <w:b w:val="false"/>
          <w:i w:val="false"/>
          <w:color w:val="000000"/>
          <w:sz w:val="22"/>
        </w:rPr>
        <w:t> </w:t>
      </w:r>
      <w:r>
        <w:rPr>
          <w:rFonts w:ascii="Times New Roman" w:hAnsi="Times New Roman"/>
          <w:b w:val="false"/>
          <w:i w:val="false"/>
          <w:color w:val="000000"/>
          <w:sz w:val="22"/>
        </w:rPr>
        <w:t>The board shall deny the petition or initiate rule-making procedures within 60 days after filing of the petition. In the case of a denial, the board shall state in writing its reasons for the denial. The petitioner and the ARRC shall be notified in writing of the board action taken.</w:t>
      </w:r>
    </w:p>
    <w:p>
      <w:pPr>
        <w:spacing w:before="0" w:after="0"/>
        <w:ind w:left="120"/>
        <w:jc w:val="left"/>
      </w:pPr>
      <w:r>
        <w:rPr>
          <w:rFonts w:ascii="Times New Roman" w:hAnsi="Times New Roman"/>
          <w:b w:val="false"/>
          <w:i w:val="false"/>
          <w:color w:val="000000"/>
          <w:sz w:val="22"/>
        </w:rPr>
        <w:t xml:space="preserve">This rule is intended to implement Iowa Code sections </w:t>
      </w:r>
      <w:hyperlink r:id="rId5">
        <w:r>
          <w:rPr>
            <w:rStyle w:val="Hyperlink"/>
            <w:rFonts w:ascii="Times New Roman" w:hAnsi="Times New Roman"/>
            <w:b w:val="false"/>
            <w:i w:val="false"/>
            <w:color w:val="000000"/>
            <w:sz w:val="22"/>
          </w:rPr>
          <w:t>17A.3(1)</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5722C</w:t>
      </w:r>
      <w:r>
        <w:rPr>
          <w:rFonts w:ascii="Times New Roman" w:hAnsi="Times New Roman"/>
          <w:b w:val="false"/>
          <w:i w:val="false"/>
          <w:color w:val="000000"/>
          <w:sz w:val="16"/>
        </w:rPr>
        <w:t>, IAB 6/30/21, effective 8/4/21</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650.1.pdf" Type="http://schemas.openxmlformats.org/officeDocument/2006/relationships/hyperlink" Id="rId4"/>
    <Relationship TargetMode="External" Target="https://www.legis.iowa.gov/docs/ico/chapter/17A.3.pdf" Type="http://schemas.openxmlformats.org/officeDocument/2006/relationships/hyperlink" Id="rId5"/>
    <Relationship TargetMode="External" Target="https://www.legis.iowa.gov/docs/ico/chapter/17A.7.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