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650—6.9</w:t>
      </w:r>
      <w:r>
        <w:rPr>
          <w:rFonts w:ascii="Times New Roman" w:hAnsi="Times New Roman"/>
          <w:b/>
          <w:i w:val="false"/>
          <w:color w:val="000000"/>
          <w:sz w:val="22"/>
        </w:rPr>
        <w:t xml:space="preserve">(153,147,22)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4">
        <w:r>
          <w:rPr>
            <w:rStyle w:val="Hyperlink"/>
            <w:rFonts w:ascii="Times New Roman" w:hAnsi="Times New Roman"/>
            <w:b w:val="false"/>
            <w:i w:val="false"/>
            <w:color w:val="000000"/>
            <w:sz w:val="22"/>
          </w:rPr>
          <w:t>650—6.10</w:t>
        </w:r>
      </w:hyperlink>
      <w:r>
        <w:rPr>
          <w:rFonts w:ascii="Times New Roman" w:hAnsi="Times New Roman"/>
          <w:b w:val="false"/>
          <w:i w:val="false"/>
          <w:color w:val="000000"/>
          <w:sz w:val="22"/>
        </w:rPr>
        <w:t>(153,147,22)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legislative services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statutory confidentiality provision, the board may share information with the child support recovery unit through manual or automated means for the sole purpose of identifying licensees or applicants subject to enforcement under Iowa Code chapter </w:t>
      </w:r>
      <w:hyperlink r:id="rId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4747C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6.10.pdf" Type="http://schemas.openxmlformats.org/officeDocument/2006/relationships/hyperlink" Id="rId4"/>
    <Relationship TargetMode="External" Target="https://www.legis.iowa.gov/docs/ico/chapter/252J.pdf" Type="http://schemas.openxmlformats.org/officeDocument/2006/relationships/hyperlink" Id="rId5"/>
    <Relationship TargetMode="External" Target="https://www.legis.iowa.gov/docs/ico/chapter/598.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