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650—6.15</w:t>
      </w:r>
      <w:r>
        <w:rPr>
          <w:rFonts w:ascii="Times New Roman" w:hAnsi="Times New Roman"/>
          <w:b/>
          <w:i w:val="false"/>
          <w:color w:val="000000"/>
          <w:sz w:val="22"/>
        </w:rPr>
        <w:t xml:space="preserve">(153,147,22)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rule </w:t>
      </w:r>
      <w:hyperlink r:id="rId4">
        <w:r>
          <w:rPr>
            <w:rStyle w:val="Hyperlink"/>
            <w:rFonts w:ascii="Times New Roman" w:hAnsi="Times New Roman"/>
            <w:b w:val="false"/>
            <w:i w:val="false"/>
            <w:color w:val="000000"/>
            <w:sz w:val="22"/>
          </w:rPr>
          <w:t>650—6.1</w:t>
        </w:r>
      </w:hyperlink>
      <w:r>
        <w:rPr>
          <w:rFonts w:ascii="Times New Roman" w:hAnsi="Times New Roman"/>
          <w:b w:val="false"/>
          <w:i w:val="false"/>
          <w:color w:val="000000"/>
          <w:sz w:val="22"/>
        </w:rPr>
        <w:t xml:space="preserve">(153,147,22). These records are routinely available to the public. However, the agency’s files of these records may contain confidential information as discussed in rule </w:t>
      </w:r>
      <w:hyperlink r:id="rId5">
        <w:r>
          <w:rPr>
            <w:rStyle w:val="Hyperlink"/>
            <w:rFonts w:ascii="Times New Roman" w:hAnsi="Times New Roman"/>
            <w:b w:val="false"/>
            <w:i w:val="false"/>
            <w:color w:val="000000"/>
            <w:sz w:val="22"/>
          </w:rPr>
          <w:t>650—6.13</w:t>
        </w:r>
      </w:hyperlink>
      <w:r>
        <w:rPr>
          <w:rFonts w:ascii="Times New Roman" w:hAnsi="Times New Roman"/>
          <w:b w:val="false"/>
          <w:i w:val="false"/>
          <w:color w:val="000000"/>
          <w:sz w:val="22"/>
        </w:rPr>
        <w:t>(153,147,22). This information is stored electronically and on paper. The records listed may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agendas, minutes, news releases, statistical reports and compilations, newsletters, publications, correspondence, opinions, rulings, and other information intended for the public except those records concerning closed sessions which are exempt from disclosure under Iowa Code section </w:t>
      </w:r>
      <w:hyperlink r:id="rId6">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or which are otherwise confidential by law. These records may contain information about individuals, including board members and staff. This information is collected pursuant to Iowa Code section </w:t>
      </w:r>
      <w:hyperlink r:id="rId7">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This information is stored electronically and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board rule-making proceedings. These records may contain information about individuals making written or oral comments on rules proposed by the board. This information is collected pursuant to Iowa Code section </w:t>
      </w:r>
      <w:hyperlink r:id="rId8">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stored electronically and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6.15(3)</w:t>
      </w:r>
      <w:r>
        <w:rPr>
          <w:rFonts w:ascii="Times New Roman" w:hAnsi="Times New Roman"/>
          <w:b w:val="false"/>
          <w:i w:val="false"/>
          <w:color w:val="000000"/>
          <w:sz w:val="22"/>
        </w:rPr>
        <w:t> </w:t>
      </w:r>
      <w:r>
        <w:rPr>
          <w:rFonts w:ascii="Times New Roman" w:hAnsi="Times New Roman"/>
          <w:b w:val="false"/>
          <w:i w:val="false"/>
          <w:color w:val="000000"/>
          <w:sz w:val="22"/>
        </w:rPr>
        <w:t>Board decisions, findings of fact, final orders, declaratory rulings, declaratory orders, and other statements of law or policy issued by the board in the performance of its function. This information is stored electronically or on paper.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w:t>
      </w:r>
      <w:r>
        <w:rPr>
          <w:rFonts w:ascii="Times New Roman" w:hAnsi="Times New Roman"/>
          <w:b w:val="false"/>
          <w:i w:val="false"/>
          <w:color w:val="000000"/>
          <w:sz w:val="22"/>
        </w:rPr>
        <w:t> </w:t>
      </w:r>
      <w:r>
        <w:rPr>
          <w:rFonts w:ascii="Times New Roman" w:hAnsi="Times New Roman"/>
          <w:b w:val="false"/>
          <w:i w:val="false"/>
          <w:color w:val="000000"/>
          <w:sz w:val="22"/>
        </w:rPr>
        <w:t>Administrative records. This includes documents concerning budget, property inventory, purchasing, yearly reports, office policies for employees, time sheets, printing and supply requisitions.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6.15(5)</w:t>
      </w:r>
      <w:r>
        <w:rPr>
          <w:rFonts w:ascii="Times New Roman" w:hAnsi="Times New Roman"/>
          <w:b w:val="false"/>
          <w:i w:val="false"/>
          <w:color w:val="000000"/>
          <w:sz w:val="22"/>
        </w:rPr>
        <w:t> </w:t>
      </w:r>
      <w:r>
        <w:rPr>
          <w:rFonts w:ascii="Times New Roman" w:hAnsi="Times New Roman"/>
          <w:b w:val="false"/>
          <w:i w:val="false"/>
          <w:color w:val="000000"/>
          <w:sz w:val="22"/>
        </w:rPr>
        <w:t xml:space="preserve">Office manuals. Information in office manuals such as the procedures manual may be confidential under Iowa Code section </w:t>
      </w:r>
      <w:hyperlink r:id="rId9">
        <w:r>
          <w:rPr>
            <w:rStyle w:val="Hyperlink"/>
            <w:rFonts w:ascii="Times New Roman" w:hAnsi="Times New Roman"/>
            <w:b w:val="false"/>
            <w:i w:val="false"/>
            <w:color w:val="000000"/>
            <w:sz w:val="22"/>
          </w:rPr>
          <w:t>17A.2(7)</w:t>
        </w:r>
        <w:r>
          <w:rPr>
            <w:rFonts w:ascii="Times New Roman" w:hAnsi="Times New Roman"/>
            <w:b w:val="false"/>
            <w:i/>
            <w:color w:val="000000"/>
            <w:sz w:val="22"/>
          </w:rPr>
          <w:t>“f”</w:t>
        </w:r>
      </w:hyperlink>
      <w:r>
        <w:rPr>
          <w:rFonts w:ascii="Times New Roman" w:hAnsi="Times New Roman"/>
          <w:b w:val="false"/>
          <w:i w:val="false"/>
          <w:color w:val="000000"/>
          <w:sz w:val="22"/>
        </w:rPr>
        <w:t xml:space="preserve"> or other applicable provision of law.</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50.6.1.pdf" Type="http://schemas.openxmlformats.org/officeDocument/2006/relationships/hyperlink" Id="rId4"/>
    <Relationship TargetMode="External" Target="https://www.legis.iowa.gov/docs/iac/rule/650.6.13.pdf" Type="http://schemas.openxmlformats.org/officeDocument/2006/relationships/hyperlink" Id="rId5"/>
    <Relationship TargetMode="External" Target="https://www.legis.iowa.gov/docs/ico/chapter/21.5.pdf" Type="http://schemas.openxmlformats.org/officeDocument/2006/relationships/hyperlink" Id="rId6"/>
    <Relationship TargetMode="External" Target="https://www.legis.iowa.gov/docs/ico/chapter/21.3.pdf" Type="http://schemas.openxmlformats.org/officeDocument/2006/relationships/hyperlink" Id="rId7"/>
    <Relationship TargetMode="External" Target="https://www.legis.iowa.gov/docs/ico/chapter/17A.4.pdf" Type="http://schemas.openxmlformats.org/officeDocument/2006/relationships/hyperlink" Id="rId8"/>
    <Relationship TargetMode="External" Target="https://www.legis.iowa.gov/docs/ico/chapter/17A.2.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