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650—6.11</w:t>
      </w:r>
      <w:r>
        <w:rPr>
          <w:rFonts w:ascii="Times New Roman" w:hAnsi="Times New Roman"/>
          <w:b/>
          <w:i w:val="false"/>
          <w:color w:val="000000"/>
          <w:sz w:val="22"/>
        </w:rPr>
        <w:t xml:space="preserve">(153,147,22)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4">
        <w:r>
          <w:rPr>
            <w:rStyle w:val="Hyperlink"/>
            <w:rFonts w:ascii="Times New Roman" w:hAnsi="Times New Roman"/>
            <w:b w:val="false"/>
            <w:i w:val="false"/>
            <w:color w:val="000000"/>
            <w:sz w:val="22"/>
          </w:rPr>
          <w:t>650—6.7</w:t>
        </w:r>
      </w:hyperlink>
      <w:r>
        <w:rPr>
          <w:rFonts w:ascii="Times New Roman" w:hAnsi="Times New Roman"/>
          <w:b w:val="false"/>
          <w:i w:val="false"/>
          <w:color w:val="000000"/>
          <w:sz w:val="22"/>
        </w:rPr>
        <w:t>(153,147,22).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the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agency is required to obtain information to verify and investigate applications for licensure or permit, complaints concerning licensees, and alleged violations of law and statute. Requests to third parties for this information may involve the release of records requiring special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necessary, the agency shall obtain from the subject individual an authorization for the release of specially protected information on a form that meets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obtain alcohol and drug abuse patient information, the agency shall obtain special authorization from the subject individual on a “Consent to Release Alcohol and Drug Abuse Patient Information” form or other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is authorized by law to subpoena books, papers, records, and any other real evidence, whether or not privileged or confidential under law, to help it determine whether it should institute an administrative hearing.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6.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