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650—6.10</w:t>
      </w:r>
      <w:r>
        <w:rPr>
          <w:rFonts w:ascii="Times New Roman" w:hAnsi="Times New Roman"/>
          <w:b/>
          <w:i w:val="false"/>
          <w:color w:val="000000"/>
          <w:sz w:val="22"/>
        </w:rPr>
        <w:t xml:space="preserve">(153,147,22)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investigators, members or agents of the agency who have a need for the record in the performance of their duties. The custodian of the record may upon request of any officer or employee, investigator, or member,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and among board members; to other state agencies, boards and departments; federal agencies; to agencies in other states; national associations; or to local units of government as appropriate to administer the agency’s statutory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Disclosure to the attorney general’s office for use in performing its official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Disclosure to the public and news media of pleadings, motions, orders, final decisions, and informal settlements filed in licensee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Transmittal to the district court of the record in a disciplinary hearing, pursuant to Iowa Code section </w:t>
      </w:r>
      <w:hyperlink r:id="rId5">
        <w:r>
          <w:rPr>
            <w:rStyle w:val="Hyperlink"/>
            <w:rFonts w:ascii="Times New Roman" w:hAnsi="Times New Roman"/>
            <w:b w:val="false"/>
            <w:i w:val="false"/>
            <w:color w:val="000000"/>
            <w:sz w:val="22"/>
          </w:rPr>
          <w:t>17A.19(6)</w:t>
        </w:r>
      </w:hyperlink>
      <w:r>
        <w:rPr>
          <w:rFonts w:ascii="Times New Roman" w:hAnsi="Times New Roman"/>
          <w:b w:val="false"/>
          <w:i w:val="false"/>
          <w:color w:val="000000"/>
          <w:sz w:val="22"/>
        </w:rPr>
        <w:t>, regardless of whether the hearing was opened or closed.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pdf" Type="http://schemas.openxmlformats.org/officeDocument/2006/relationships/hyperlink" Id="rId4"/>
    <Relationship TargetMode="External" Target="https://www.legis.iowa.gov/docs/ico/chapter/17A.19.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