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650—52.2</w:t>
      </w:r>
      <w:r>
        <w:rPr>
          <w:rFonts w:ascii="Times New Roman" w:hAnsi="Times New Roman"/>
          <w:b/>
          <w:i w:val="false"/>
          <w:color w:val="000000"/>
          <w:sz w:val="22"/>
        </w:rPr>
        <w:t xml:space="preserve">(272C) </w:t>
      </w:r>
      <w:r>
        <w:rPr>
          <w:rFonts w:ascii="Times New Roman" w:hAnsi="Times New Roman"/>
          <w:b/>
          <w:i w:val="false"/>
          <w:color w:val="000000"/>
          <w:sz w:val="22"/>
        </w:rPr>
        <w:t xml:space="preserve">Military education, training, and service credit. </w:t>
      </w:r>
      <w:r>
        <w:rPr>
          <w:rFonts w:ascii="Times New Roman" w:hAnsi="Times New Roman"/>
          <w:b w:val="false"/>
          <w:i w:val="false"/>
          <w:color w:val="000000"/>
          <w:sz w:val="22"/>
        </w:rPr>
        <w:t>A military service applicant may apply for credit for verified military education, training, or service toward any experience or educational requirement for licensure by submitting a military service application form to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52.2(1)</w:t>
      </w:r>
      <w:r>
        <w:rPr>
          <w:rFonts w:ascii="Times New Roman" w:hAnsi="Times New Roman"/>
          <w:b w:val="false"/>
          <w:i w:val="false"/>
          <w:color w:val="000000"/>
          <w:sz w:val="22"/>
        </w:rPr>
        <w:t> </w:t>
      </w:r>
      <w:r>
        <w:rPr>
          <w:rFonts w:ascii="Times New Roman" w:hAnsi="Times New Roman"/>
          <w:b w:val="false"/>
          <w:i w:val="false"/>
          <w:color w:val="000000"/>
          <w:sz w:val="22"/>
        </w:rPr>
        <w:t>The completed military service application may be submitted with an application for licensure or examination or prior to an applicant’s applying for licensure or to take an examination. No fee is required with submission of an application for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52.2(2)</w:t>
      </w:r>
      <w:r>
        <w:rPr>
          <w:rFonts w:ascii="Times New Roman" w:hAnsi="Times New Roman"/>
          <w:b w:val="false"/>
          <w:i w:val="false"/>
          <w:color w:val="000000"/>
          <w:sz w:val="22"/>
        </w:rPr>
        <w:t> </w:t>
      </w:r>
      <w:r>
        <w:rPr>
          <w:rFonts w:ascii="Times New Roman" w:hAnsi="Times New Roman"/>
          <w:b w:val="false"/>
          <w:i w:val="false"/>
          <w:color w:val="000000"/>
          <w:sz w:val="22"/>
        </w:rPr>
        <w:t>The applicant shall identify the experience or educational licensure requirement to which the credit would be applied if granted. Credit shall not be applied to an examination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52.2(3)</w:t>
      </w:r>
      <w:r>
        <w:rPr>
          <w:rFonts w:ascii="Times New Roman" w:hAnsi="Times New Roman"/>
          <w:b w:val="false"/>
          <w:i w:val="false"/>
          <w:color w:val="000000"/>
          <w:sz w:val="22"/>
        </w:rPr>
        <w:t> </w:t>
      </w:r>
      <w:r>
        <w:rPr>
          <w:rFonts w:ascii="Times New Roman" w:hAnsi="Times New Roman"/>
          <w:b w:val="false"/>
          <w:i w:val="false"/>
          <w:color w:val="000000"/>
          <w:sz w:val="22"/>
        </w:rPr>
        <w:t>The applicant shall provide documents, military transcripts, a certified affidavit, or forms that verify completion of the relevant military education, training, or service, which may include, when applicable, the applicant’s Certificate of Release or Discharge from Active Duty (DD Form 214) or Verification of Military Experience and Training (VMET) (DD Form 2586).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52.2(4)</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military service application, the board shall promptly determine whether the verified military education, training, or service will satisfy all or any part of the identified experience or educational licensure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52.2(5)</w:t>
      </w:r>
      <w:r>
        <w:rPr>
          <w:rFonts w:ascii="Times New Roman" w:hAnsi="Times New Roman"/>
          <w:b w:val="false"/>
          <w:i w:val="false"/>
          <w:color w:val="000000"/>
          <w:sz w:val="22"/>
        </w:rPr>
        <w:t> </w:t>
      </w:r>
      <w:r>
        <w:rPr>
          <w:rFonts w:ascii="Times New Roman" w:hAnsi="Times New Roman"/>
          <w:b w:val="false"/>
          <w:i w:val="false"/>
          <w:color w:val="000000"/>
          <w:sz w:val="22"/>
        </w:rPr>
        <w:t>The board shall grant the application in whole or in part if the board determines that the verified military education, training, or service satisfies all or part of the experience or educational qualifications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52.2(6)</w:t>
      </w:r>
      <w:r>
        <w:rPr>
          <w:rFonts w:ascii="Times New Roman" w:hAnsi="Times New Roman"/>
          <w:b w:val="false"/>
          <w:i w:val="false"/>
          <w:color w:val="000000"/>
          <w:sz w:val="22"/>
        </w:rPr>
        <w:t> </w:t>
      </w:r>
      <w:r>
        <w:rPr>
          <w:rFonts w:ascii="Times New Roman" w:hAnsi="Times New Roman"/>
          <w:b w:val="false"/>
          <w:i w:val="false"/>
          <w:color w:val="000000"/>
          <w:sz w:val="22"/>
        </w:rPr>
        <w:t>The board shall inform the military service applicant in writing of the credit, if any, given toward an experience or educational qualification for licensure or explain why no credit was granted. The applicant may request reconsideration upon submission of additional documentation or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52.2(7)</w:t>
      </w:r>
      <w:r>
        <w:rPr>
          <w:rFonts w:ascii="Times New Roman" w:hAnsi="Times New Roman"/>
          <w:b w:val="false"/>
          <w:i w:val="false"/>
          <w:color w:val="000000"/>
          <w:sz w:val="22"/>
        </w:rPr>
        <w:t> </w:t>
      </w:r>
      <w:r>
        <w:rPr>
          <w:rFonts w:ascii="Times New Roman" w:hAnsi="Times New Roman"/>
          <w:b w:val="false"/>
          <w:i w:val="false"/>
          <w:color w:val="000000"/>
          <w:sz w:val="22"/>
        </w:rPr>
        <w:t>A military service applicant who is aggrieved by the board’s decision may request a contested case (administrative hearing) and may participate in a contested case by telephone. A request for a contested case shall be made within 30 days of issuance of the board’s decision. No fees or costs shall be assessed against the military service applicant in connection with a contested case conducted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52.2(8)</w:t>
      </w:r>
      <w:r>
        <w:rPr>
          <w:rFonts w:ascii="Times New Roman" w:hAnsi="Times New Roman"/>
          <w:b w:val="false"/>
          <w:i w:val="false"/>
          <w:color w:val="000000"/>
          <w:sz w:val="22"/>
        </w:rPr>
        <w:t> </w:t>
      </w:r>
      <w:r>
        <w:rPr>
          <w:rFonts w:ascii="Times New Roman" w:hAnsi="Times New Roman"/>
          <w:b w:val="false"/>
          <w:i w:val="false"/>
          <w:color w:val="000000"/>
          <w:sz w:val="22"/>
        </w:rPr>
        <w:t>The board shall grant or deny the military service application prior to ruling on the application for licensure. The applicant shall not be required to submit any fees in connection with the licensure application unless the board grants the military service application. If the board does not grant the military service application, the applicant may withdraw the licensure application or request that the licensure application be placed in pending status for up to one year or as mutually agreed. The withdrawal of a licensure application shall not preclude subsequent applications supported by additional documentation or information.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1811C</w:t>
      </w:r>
      <w:r>
        <w:rPr>
          <w:rFonts w:ascii="Times New Roman" w:hAnsi="Times New Roman"/>
          <w:b w:val="false"/>
          <w:i w:val="false"/>
          <w:color w:val="000000"/>
          <w:sz w:val="16"/>
        </w:rPr>
        <w:t>, IAB 1/7/15, effective 2/11/15</w:t>
      </w:r>
      <w:r>
        <w:rPr>
          <w:rFonts w:ascii="Times New Roman" w:hAnsi="Times New Roman"/>
          <w:b w:val="false"/>
          <w:i w:val="false"/>
          <w:color w:val="000000"/>
          <w:sz w:val="16"/>
        </w:rPr>
        <w:t xml:space="preserve">; </w:t>
      </w:r>
      <w:r>
        <w:rPr>
          <w:rFonts w:ascii="Times New Roman" w:hAnsi="Times New Roman"/>
          <w:b/>
          <w:i w:val="false"/>
          <w:color w:val="000000"/>
          <w:sz w:val="16"/>
        </w:rPr>
        <w:t>ARC 4749C</w:t>
      </w:r>
      <w:r>
        <w:rPr>
          <w:rFonts w:ascii="Times New Roman" w:hAnsi="Times New Roman"/>
          <w:b w:val="false"/>
          <w:i w:val="false"/>
          <w:color w:val="000000"/>
          <w:sz w:val="16"/>
        </w:rPr>
        <w:t>, IAB 11/6/19, effective 12/11/19</w:t>
      </w:r>
      <w:r>
        <w:rPr>
          <w:rFonts w:ascii="Times New Roman" w:hAnsi="Times New Roman"/>
          <w:b w:val="false"/>
          <w:i w:val="false"/>
          <w:color w:val="000000"/>
          <w:sz w:val="16"/>
        </w:rPr>
        <w:t xml:space="preserve">; </w:t>
      </w:r>
      <w:r>
        <w:rPr>
          <w:rFonts w:ascii="Times New Roman" w:hAnsi="Times New Roman"/>
          <w:b/>
          <w:i w:val="false"/>
          <w:color w:val="000000"/>
          <w:sz w:val="16"/>
        </w:rPr>
        <w:t>ARC 5747C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