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650—51.6</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This statement shall contain sufficient detail to give the respondent fair notice of the allegations so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as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 section 15(1)</w:t>
      </w:r>
      <w:r>
        <w:rPr>
          <w:rFonts w:ascii="Times New Roman" w:hAnsi="Times New Roman"/>
          <w:b w:val="false"/>
          <w:i w:val="false"/>
          <w:color w:val="000000"/>
          <w:sz w:val="22"/>
        </w:rPr>
        <w:t xml:space="preserve">, and rule </w:t>
      </w:r>
      <w:hyperlink r:id="rId4">
        <w:r>
          <w:rPr>
            <w:rStyle w:val="Hyperlink"/>
            <w:rFonts w:ascii="Times New Roman" w:hAnsi="Times New Roman"/>
            <w:b w:val="false"/>
            <w:i w:val="false"/>
            <w:color w:val="000000"/>
            <w:sz w:val="22"/>
          </w:rPr>
          <w:t>51.9</w:t>
        </w:r>
      </w:hyperlink>
      <w:r>
        <w:rPr>
          <w:rFonts w:ascii="Times New Roman" w:hAnsi="Times New Roman"/>
          <w:b w:val="false"/>
          <w:i w:val="false"/>
          <w:color w:val="000000"/>
          <w:sz w:val="22"/>
        </w:rPr>
        <w:t>(17A) that the presiding officer be an administrative law judge.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