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650—51.5</w:t>
      </w:r>
      <w:r>
        <w:rPr>
          <w:rFonts w:ascii="Times New Roman" w:hAnsi="Times New Roman"/>
          <w:b/>
          <w:i w:val="false"/>
          <w:color w:val="000000"/>
          <w:sz w:val="22"/>
        </w:rPr>
        <w:t xml:space="preserve">(17A) </w:t>
      </w:r>
      <w:r>
        <w:rPr>
          <w:rFonts w:ascii="Times New Roman" w:hAnsi="Times New Roman"/>
          <w:b/>
          <w:i w:val="false"/>
          <w:color w:val="000000"/>
          <w:sz w:val="22"/>
        </w:rPr>
        <w:t xml:space="preserve">Time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51.5(1)</w:t>
      </w:r>
      <w:r>
        <w:rPr>
          <w:rFonts w:ascii="Times New Roman" w:hAnsi="Times New Roman"/>
          <w:b w:val="false"/>
          <w:i w:val="false"/>
          <w:color w:val="000000"/>
          <w:sz w:val="22"/>
        </w:rPr>
        <w:t> </w:t>
      </w:r>
      <w:r>
        <w:rPr>
          <w:rFonts w:ascii="Times New Roman" w:hAnsi="Times New Roman"/>
          <w:b w:val="false"/>
          <w:i w:val="false"/>
          <w:color w:val="000000"/>
          <w:sz w:val="22"/>
        </w:rPr>
        <w:t xml:space="preserve">Time shall be computed as provided in Iowa Code subsection </w:t>
      </w:r>
      <w:hyperlink r:id="rId4">
        <w:r>
          <w:rPr>
            <w:rStyle w:val="Hyperlink"/>
            <w:rFonts w:ascii="Times New Roman" w:hAnsi="Times New Roman"/>
            <w:b w:val="false"/>
            <w:i w:val="false"/>
            <w:color w:val="000000"/>
            <w:sz w:val="22"/>
          </w:rPr>
          <w:t>4.1(34)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51.5(2)</w:t>
      </w:r>
      <w:r>
        <w:rPr>
          <w:rFonts w:ascii="Times New Roman" w:hAnsi="Times New Roman"/>
          <w:b w:val="false"/>
          <w:i w:val="false"/>
          <w:color w:val="000000"/>
          <w:sz w:val="22"/>
        </w:rPr>
        <w:t> </w:t>
      </w:r>
      <w:r>
        <w:rPr>
          <w:rFonts w:ascii="Times New Roman" w:hAnsi="Times New Roman"/>
          <w:b w:val="false"/>
          <w:i w:val="false"/>
          <w:color w:val="000000"/>
          <w:sz w:val="22"/>
        </w:rPr>
        <w:t>For good cause, the presiding officer may extend or shorten the time to take any action, except as precluded by statute or by rule. Except for good cause stated in the record, before extending or shortening the time to take any action, the presiding officer shall afford all parties an opportunity to be heard or to file written arguments.</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1.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