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650—51.34</w:t>
      </w:r>
      <w:r>
        <w:rPr>
          <w:rFonts w:ascii="Times New Roman" w:hAnsi="Times New Roman"/>
          <w:b/>
          <w:i w:val="false"/>
          <w:color w:val="000000"/>
          <w:sz w:val="22"/>
        </w:rPr>
        <w:t xml:space="preserve">(153) </w:t>
      </w:r>
      <w:r>
        <w:rPr>
          <w:rFonts w:ascii="Times New Roman" w:hAnsi="Times New Roman"/>
          <w:b/>
          <w:i w:val="false"/>
          <w:color w:val="000000"/>
          <w:sz w:val="22"/>
        </w:rPr>
        <w:t xml:space="preserve">Reinstatement.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51.34(1)</w:t>
      </w:r>
      <w:r>
        <w:rPr>
          <w:rFonts w:ascii="Times New Roman" w:hAnsi="Times New Roman"/>
          <w:b w:val="false"/>
          <w:i w:val="false"/>
          <w:color w:val="000000"/>
          <w:sz w:val="22"/>
        </w:rPr>
        <w:t> </w:t>
      </w:r>
      <w:r>
        <w:rPr>
          <w:rFonts w:ascii="Times New Roman" w:hAnsi="Times New Roman"/>
          <w:b w:val="false"/>
          <w:i w:val="false"/>
          <w:color w:val="000000"/>
          <w:sz w:val="22"/>
        </w:rPr>
        <w:t>Any person whose license has been revoked or suspended by the board may apply to the board for reinstatement in accordance with the terms of the order of revocation or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51.34(2)</w:t>
      </w:r>
      <w:r>
        <w:rPr>
          <w:rFonts w:ascii="Times New Roman" w:hAnsi="Times New Roman"/>
          <w:b w:val="false"/>
          <w:i w:val="false"/>
          <w:color w:val="000000"/>
          <w:sz w:val="22"/>
        </w:rPr>
        <w:t> </w:t>
      </w:r>
      <w:r>
        <w:rPr>
          <w:rFonts w:ascii="Times New Roman" w:hAnsi="Times New Roman"/>
          <w:b w:val="false"/>
          <w:i w:val="false"/>
          <w:color w:val="000000"/>
          <w:sz w:val="22"/>
        </w:rPr>
        <w:t>If the order of revocation or suspension did not establish terms upon which reinstatement might occur, or if the license was voluntarily surrendered pursuant to disciplinary action, an initial application for reinstatement may not be made until one year has elapsed from the date of the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51.34(3)</w:t>
      </w:r>
      <w:r>
        <w:rPr>
          <w:rFonts w:ascii="Times New Roman" w:hAnsi="Times New Roman"/>
          <w:b w:val="false"/>
          <w:i w:val="false"/>
          <w:color w:val="000000"/>
          <w:sz w:val="22"/>
        </w:rPr>
        <w:t> </w:t>
      </w:r>
      <w:r>
        <w:rPr>
          <w:rFonts w:ascii="Times New Roman" w:hAnsi="Times New Roman"/>
          <w:b w:val="false"/>
          <w:i w:val="false"/>
          <w:color w:val="000000"/>
          <w:sz w:val="22"/>
        </w:rPr>
        <w:t>All proceedings for reinstatement shall be initiated by the respondent, who shall file with the board an application for the reinstatement of the license. All proceedings upon the petition for reinstatement shall be subject to the same rules of procedure as other disciplinary matters before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51.34(4)</w:t>
      </w:r>
      <w:r>
        <w:rPr>
          <w:rFonts w:ascii="Times New Roman" w:hAnsi="Times New Roman"/>
          <w:b w:val="false"/>
          <w:i w:val="false"/>
          <w:color w:val="000000"/>
          <w:sz w:val="22"/>
        </w:rPr>
        <w:t> </w:t>
      </w:r>
      <w:r>
        <w:rPr>
          <w:rFonts w:ascii="Times New Roman" w:hAnsi="Times New Roman"/>
          <w:b w:val="false"/>
          <w:i w:val="false"/>
          <w:color w:val="000000"/>
          <w:sz w:val="22"/>
        </w:rPr>
        <w:t>An application for reinstatement shall allege facts which, if established, will be sufficient to enable the board to determine that the basis for the revocation or suspension no longer exists and that it will be in the public interest for the license to be reinstated. The burden of proof to establish such facts shall be on the respondent.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51.34(5)</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for reinstatement may include a request for a hearing on the issues raised on the application or any other information furnished to the board. The hearing on an application for reinstatement shall be a contested case proceeding within the meaning of Iowa Code section </w:t>
      </w:r>
      <w:hyperlink r:id="rId4">
        <w:r>
          <w:rPr>
            <w:rStyle w:val="Hyperlink"/>
            <w:rFonts w:ascii="Times New Roman" w:hAnsi="Times New Roman"/>
            <w:b w:val="false"/>
            <w:i w:val="false"/>
            <w:color w:val="000000"/>
            <w:sz w:val="22"/>
          </w:rPr>
          <w:t>17A.2(2)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51.34(6)</w:t>
      </w:r>
      <w:r>
        <w:rPr>
          <w:rFonts w:ascii="Times New Roman" w:hAnsi="Times New Roman"/>
          <w:b w:val="false"/>
          <w:i w:val="false"/>
          <w:color w:val="000000"/>
          <w:sz w:val="22"/>
        </w:rPr>
        <w:t> </w:t>
      </w:r>
      <w:r>
        <w:rPr>
          <w:rFonts w:ascii="Times New Roman" w:hAnsi="Times New Roman"/>
          <w:b w:val="false"/>
          <w:i w:val="false"/>
          <w:color w:val="000000"/>
          <w:sz w:val="22"/>
        </w:rPr>
        <w:t xml:space="preserve">The order to grant or deny reinstatement shall include findings of fact and conclusions of law. If reinstatement is granted, terms and conditions of licensure may be imposed. Such terms and conditions may include restrictions on the licensee’s practice. This order will be published as provided for in rule </w:t>
      </w:r>
      <w:hyperlink r:id="rId5">
        <w:r>
          <w:rPr>
            <w:rStyle w:val="Hyperlink"/>
            <w:rFonts w:ascii="Times New Roman" w:hAnsi="Times New Roman"/>
            <w:b w:val="false"/>
            <w:i w:val="false"/>
            <w:color w:val="000000"/>
            <w:sz w:val="22"/>
          </w:rPr>
          <w:t>650—51.33</w:t>
        </w:r>
      </w:hyperlink>
      <w:r>
        <w:rPr>
          <w:rFonts w:ascii="Times New Roman" w:hAnsi="Times New Roman"/>
          <w:b w:val="false"/>
          <w:i w:val="false"/>
          <w:color w:val="000000"/>
          <w:sz w:val="22"/>
        </w:rPr>
        <w:t>(153).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51.34(7)</w:t>
      </w:r>
      <w:r>
        <w:rPr>
          <w:rFonts w:ascii="Times New Roman" w:hAnsi="Times New Roman"/>
          <w:b w:val="false"/>
          <w:i w:val="false"/>
          <w:color w:val="000000"/>
          <w:sz w:val="22"/>
        </w:rPr>
        <w:t> </w:t>
      </w:r>
      <w:r>
        <w:rPr>
          <w:rFonts w:ascii="Times New Roman" w:hAnsi="Times New Roman"/>
          <w:b w:val="false"/>
          <w:i w:val="false"/>
          <w:color w:val="000000"/>
          <w:sz w:val="22"/>
        </w:rPr>
        <w:t>A person whose license to practice dentistry or dental hygiene was revoked or suspended must successfully complete the examination required at the time of reinstatement for dental or dental hygiene licensure. The board may in its discretion require remedial training in addition to or in lieu of the examination requirements.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2.pdf" Type="http://schemas.openxmlformats.org/officeDocument/2006/relationships/hyperlink" Id="rId4"/>
    <Relationship TargetMode="External" Target="https://www.legis.iowa.gov/docs/iac/rule/650.51.33.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