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Notification of 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parties to a contested case shall be promptly furnished with a copy of any decision or order either by personal delivery or by certified or first-class mailing. Delivery or first-class mailing of any decision or order to an attorney of record in a contested case hearing shall constitute notification of the respondent. Service by mail is complete upon mailing.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