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650—51.30</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51.30(1)</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board may issue a written order in compliance with </w:t>
      </w:r>
      <w:r>
        <w:rPr>
          <w:rFonts w:ascii="Times New Roman" w:hAnsi="Times New Roman"/>
          <w:b w:val="false"/>
          <w:i w:val="false"/>
          <w:color w:val="000000"/>
          <w:sz w:val="22"/>
        </w:rPr>
        <w:t>1998 Iowa Acts, chapter 1202, section 21</w:t>
      </w:r>
      <w:r>
        <w:rPr>
          <w:rFonts w:ascii="Times New Roman" w:hAnsi="Times New Roman"/>
          <w:b w:val="false"/>
          <w:i w:val="false"/>
          <w:color w:val="000000"/>
          <w:sz w:val="22"/>
        </w:rPr>
        <w:t>, to suspend a license in whole or in part, order the cessation of any continuing activity, order affirmative action, or take other action within the jurisdiction of the board by emergency adjudicative order. Before issuing an emergency adjudicative order the board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board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board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51.30(2)</w:t>
      </w:r>
      <w:r>
        <w:rPr>
          <w:rFonts w:ascii="Times New Roman" w:hAnsi="Times New Roman"/>
          <w:b w:val="false"/>
          <w:i w:val="false"/>
          <w:color w:val="000000"/>
          <w:sz w:val="22"/>
        </w:rPr>
        <w:t> </w:t>
      </w:r>
      <w:r>
        <w:rPr>
          <w:rFonts w:ascii="Times New Roman" w:hAnsi="Times New Roman"/>
          <w:b w:val="false"/>
          <w:i w:val="false"/>
          <w:color w:val="000000"/>
          <w:sz w:val="22"/>
        </w:rPr>
        <w:t>Issuance of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board’s decision to take immediate action. The order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the person who is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board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board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51.30(3)</w:t>
      </w:r>
      <w:r>
        <w:rPr>
          <w:rFonts w:ascii="Times New Roman" w:hAnsi="Times New Roman"/>
          <w:b w:val="false"/>
          <w:i w:val="false"/>
          <w:color w:val="000000"/>
          <w:sz w:val="22"/>
        </w:rPr>
        <w:t> </w:t>
      </w:r>
      <w:r>
        <w:rPr>
          <w:rFonts w:ascii="Times New Roman" w:hAnsi="Times New Roman"/>
          <w:b w:val="false"/>
          <w:i w:val="false"/>
          <w:color w:val="000000"/>
          <w:sz w:val="22"/>
        </w:rPr>
        <w:t>Oral notice. Unless the written emergency adjudicative order is provided by personal delivery on the same day that the order issues, the board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51.30(4)</w:t>
      </w:r>
      <w:r>
        <w:rPr>
          <w:rFonts w:ascii="Times New Roman" w:hAnsi="Times New Roman"/>
          <w:b w:val="false"/>
          <w:i w:val="false"/>
          <w:color w:val="000000"/>
          <w:sz w:val="22"/>
        </w:rPr>
        <w:t> </w:t>
      </w:r>
      <w:r>
        <w:rPr>
          <w:rFonts w:ascii="Times New Roman" w:hAnsi="Times New Roman"/>
          <w:b w:val="false"/>
          <w:i w:val="false"/>
          <w:color w:val="000000"/>
          <w:sz w:val="22"/>
        </w:rPr>
        <w:t>Completion of proceedings. After the issuance of an emergency adjudicative order, the board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shall include notification of the date on which board proceedings are scheduled for completion. After issuance of an emergency adjudicative order, continuance of further board proceedings to a later date will be granted only in compelling circumstances upon application in writing, unless the person who is required to comply with the order is the party requesting the continuance.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