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650—51.27</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 xml:space="preserve">The application for rehearing shall state on whose behalf it is filed, the specific grounds for rehearing, and the relief sought. In addition, the application shall state whether the applicant desires reconsideration of all or part of the board decision on the existing record and whether, on the basis of the grounds enumerated in subrule </w:t>
      </w:r>
      <w:hyperlink r:id="rId4">
        <w:r>
          <w:rPr>
            <w:rStyle w:val="Hyperlink"/>
            <w:rFonts w:ascii="Times New Roman" w:hAnsi="Times New Roman"/>
            <w:b w:val="false"/>
            <w:i w:val="false"/>
            <w:color w:val="000000"/>
            <w:sz w:val="22"/>
          </w:rPr>
          <w:t>51.27(5)</w:t>
        </w:r>
      </w:hyperlink>
      <w:r>
        <w:rPr>
          <w:rFonts w:ascii="Times New Roman" w:hAnsi="Times New Roman"/>
          <w:b w:val="false"/>
          <w:i w:val="false"/>
          <w:color w:val="000000"/>
          <w:sz w:val="22"/>
        </w:rPr>
        <w:t>, the applicant requests an opportunity to submit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application shall be filed with the board within 20 days after issuance of the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shall be timely mailed by the applicant to all parties of record not joining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51.27(5)</w:t>
      </w:r>
      <w:r>
        <w:rPr>
          <w:rFonts w:ascii="Times New Roman" w:hAnsi="Times New Roman"/>
          <w:b w:val="false"/>
          <w:i w:val="false"/>
          <w:color w:val="000000"/>
          <w:sz w:val="22"/>
        </w:rPr>
        <w:t> </w:t>
      </w:r>
      <w:r>
        <w:rPr>
          <w:rFonts w:ascii="Times New Roman" w:hAnsi="Times New Roman"/>
          <w:b w:val="false"/>
          <w:i/>
          <w:color w:val="000000"/>
          <w:sz w:val="22"/>
        </w:rPr>
        <w:t xml:space="preserve">Additional evidence. </w:t>
      </w:r>
      <w:r>
        <w:rPr>
          <w:rFonts w:ascii="Times New Roman" w:hAnsi="Times New Roman"/>
          <w:b w:val="false"/>
          <w:i w:val="false"/>
          <w:color w:val="000000"/>
          <w:sz w:val="22"/>
        </w:rPr>
        <w:t xml:space="preserve">A request that additional evidence be considered on rehearing shall be governed by subrule </w:t>
      </w:r>
      <w:hyperlink r:id="rId5">
        <w:r>
          <w:rPr>
            <w:rStyle w:val="Hyperlink"/>
            <w:rFonts w:ascii="Times New Roman" w:hAnsi="Times New Roman"/>
            <w:b w:val="false"/>
            <w:i w:val="false"/>
            <w:color w:val="000000"/>
            <w:sz w:val="22"/>
          </w:rPr>
          <w:t>51.26(5)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51.27(6)</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Any application for a rehearing shall be deemed denied unless the board grants the application within 20 days after its filing.</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51.27.pdf" Type="http://schemas.openxmlformats.org/officeDocument/2006/relationships/hyperlink" Id="rId4"/>
    <Relationship TargetMode="External" Target="https://www.legis.iowa.gov/docs/iac/rule/650.51.2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