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650—51.26</w:t>
      </w:r>
      <w:r>
        <w:rPr>
          <w:rFonts w:ascii="Times New Roman" w:hAnsi="Times New Roman"/>
          <w:b/>
          <w:i w:val="false"/>
          <w:color w:val="000000"/>
          <w:sz w:val="22"/>
        </w:rPr>
        <w:t xml:space="preserve">(17A) </w:t>
      </w:r>
      <w:r>
        <w:rPr>
          <w:rFonts w:ascii="Times New Roman" w:hAnsi="Times New Roman"/>
          <w:b/>
          <w:i w:val="false"/>
          <w:color w:val="000000"/>
          <w:sz w:val="22"/>
        </w:rPr>
        <w:t xml:space="preserve">Proposed and 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51.26(1)</w:t>
      </w:r>
      <w:r>
        <w:rPr>
          <w:rFonts w:ascii="Times New Roman" w:hAnsi="Times New Roman"/>
          <w:b w:val="false"/>
          <w:i w:val="false"/>
          <w:color w:val="000000"/>
          <w:sz w:val="22"/>
        </w:rPr>
        <w:t> </w:t>
      </w:r>
      <w:r>
        <w:rPr>
          <w:rFonts w:ascii="Times New Roman" w:hAnsi="Times New Roman"/>
          <w:b w:val="false"/>
          <w:i w:val="false"/>
          <w:color w:val="000000"/>
          <w:sz w:val="22"/>
        </w:rPr>
        <w:t>When a quorum of the board presides over the reception of the evidence at the hearing, the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51.26(2)</w:t>
      </w:r>
      <w:r>
        <w:rPr>
          <w:rFonts w:ascii="Times New Roman" w:hAnsi="Times New Roman"/>
          <w:b w:val="false"/>
          <w:i w:val="false"/>
          <w:color w:val="000000"/>
          <w:sz w:val="22"/>
        </w:rPr>
        <w:t> </w:t>
      </w:r>
      <w:r>
        <w:rPr>
          <w:rFonts w:ascii="Times New Roman" w:hAnsi="Times New Roman"/>
          <w:b w:val="false"/>
          <w:i w:val="false"/>
          <w:color w:val="000000"/>
          <w:sz w:val="22"/>
        </w:rPr>
        <w:t>When a panel of three specialists presides over the hearing, the panel shall issue a proposed decision which shall include proposed findings of fact but shall not include conclusions of law. A proposed decision of a hearing panel of specialists, together with a transcript of the proceedings and exhibits presented, shall be reviewed by the board within 30 days of the date the proposed decision was issued. The parties shall have the opportunity to submit briefs and arguments to the board. The decision of the board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51.26(3)</w:t>
      </w:r>
      <w:r>
        <w:rPr>
          <w:rFonts w:ascii="Times New Roman" w:hAnsi="Times New Roman"/>
          <w:b w:val="false"/>
          <w:i w:val="false"/>
          <w:color w:val="000000"/>
          <w:sz w:val="22"/>
        </w:rPr>
        <w:t> </w:t>
      </w:r>
      <w:r>
        <w:rPr>
          <w:rFonts w:ascii="Times New Roman" w:hAnsi="Times New Roman"/>
          <w:b w:val="false"/>
          <w:i w:val="false"/>
          <w:color w:val="000000"/>
          <w:sz w:val="22"/>
        </w:rPr>
        <w:t>When a panel of three board members or the dental hygiene committee presides over the hearing, the panel shall issue a proposed decision which shall include proposed findings of fact, conclusions of law, and order. A proposed decision, together with a transcript of the proceedings and the exhibits presented, shall be reviewed by the board within 30 days of the date the proposed decision was issued. A proposed decision of a board hearing panel becomes a final decision without further proceedings unless appealed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review a proposed decision on its own motion by serving a notice of appeal on the parties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proposed decision may be appealed to the board by either party by serving on the executive director, either in person or by certified mail, a notice of appeal within 30 days after service of the proposed decision on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notice of appeal, the board shall enter an order establishing a schedule for submission of briefs and oral argument. The parties shall serve their briefs on the board and shall furnish an additional copy to each party by first-class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Oral argument shall be heard by the board unless waived by both parties. The time granted each party for oral argument shall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record on appeal shall be the entire record made before the hearing panel or administrative law judge. Costs associated with the appeal shall be paid by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51.26(4)</w:t>
      </w:r>
      <w:r>
        <w:rPr>
          <w:rFonts w:ascii="Times New Roman" w:hAnsi="Times New Roman"/>
          <w:b w:val="false"/>
          <w:i w:val="false"/>
          <w:color w:val="000000"/>
          <w:sz w:val="22"/>
        </w:rPr>
        <w:t> </w:t>
      </w:r>
      <w:r>
        <w:rPr>
          <w:rFonts w:ascii="Times New Roman" w:hAnsi="Times New Roman"/>
          <w:b w:val="false"/>
          <w:i w:val="false"/>
          <w:color w:val="000000"/>
          <w:sz w:val="22"/>
        </w:rPr>
        <w:t>At no time prior to the release of the final decision by the board shall a proposed decision be made public or distributed to any person other than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51.26(5)</w:t>
      </w:r>
      <w:r>
        <w:rPr>
          <w:rFonts w:ascii="Times New Roman" w:hAnsi="Times New Roman"/>
          <w:b w:val="false"/>
          <w:i w:val="false"/>
          <w:color w:val="000000"/>
          <w:sz w:val="22"/>
        </w:rPr>
        <w:t> </w:t>
      </w:r>
      <w:r>
        <w:rPr>
          <w:rFonts w:ascii="Times New Roman" w:hAnsi="Times New Roman"/>
          <w:b w:val="false"/>
          <w:i w:val="false"/>
          <w:color w:val="000000"/>
          <w:sz w:val="22"/>
        </w:rPr>
        <w:t>Requests to present additional evidence. A party may request the taking of additional evidence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the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