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executive director, administrative law judge, or hearing panel. In determining whether to do so, the board shall consider:</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extent to which its granting the interlocutory appeal would expedite final resolution of the case; and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extent to which review of that interlocutory order by the board at the time it reviews the proposed decision of the presiding officer would provide an adequate remedy.</w:t>
      </w:r>
    </w:p>
    <w:p>
      <w:pPr>
        <w:spacing w:before="0" w:after="0"/>
        <w:ind w:left="120"/>
        <w:jc w:val="left"/>
      </w:pPr>
      <w:r>
        <w:rPr>
          <w:rFonts w:ascii="Times New Roman" w:hAnsi="Times New Roman"/>
          <w:b w:val="false"/>
          <w:i w:val="false"/>
          <w:color w:val="000000"/>
          <w:sz w:val="22"/>
        </w:rPr>
        <w:t>Any request for interlocutory review must be filed within 14 days of issuance of the challenged order, but no later than the time for compliance with the order or the date of hearing, whichever is first.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