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4">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w:t>
      </w:r>
      <w:r>
        <w:rPr>
          <w:rFonts w:ascii="Times New Roman" w:hAnsi="Times New Roman"/>
          <w:b w:val="false"/>
          <w:i w:val="false"/>
          <w:color w:val="000000"/>
          <w:sz w:val="22"/>
        </w:rPr>
        <w:t>1998 Iowa Acts, chapter 1202, section 14</w:t>
      </w:r>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the state or the respondent.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board of dental examiners or a panel of the board. In a disciplinary contested case proceeding, the board may request that an administrative law judge make initial rulings on prehearing matters, and assist and advise the board in presiding at the disciplinary contested case hearing.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hearing panel’s recommended findings of fact, conclusions of law, decision, and order in a contested case in which the full board did not preside.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