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650—51.19</w:t>
      </w:r>
      <w:r>
        <w:rPr>
          <w:rFonts w:ascii="Times New Roman" w:hAnsi="Times New Roman"/>
          <w:b/>
          <w:i w:val="false"/>
          <w:color w:val="000000"/>
          <w:sz w:val="22"/>
        </w:rPr>
        <w:t xml:space="preserve">(17A) </w:t>
      </w:r>
      <w:r>
        <w:rPr>
          <w:rFonts w:ascii="Times New Roman" w:hAnsi="Times New Roman"/>
          <w:b/>
          <w:i w:val="false"/>
          <w:color w:val="000000"/>
          <w:sz w:val="22"/>
        </w:rPr>
        <w:t xml:space="preserve">Settlements.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51.19(1)</w:t>
      </w:r>
      <w:r>
        <w:rPr>
          <w:rFonts w:ascii="Times New Roman" w:hAnsi="Times New Roman"/>
          <w:b w:val="false"/>
          <w:i w:val="false"/>
          <w:color w:val="000000"/>
          <w:sz w:val="22"/>
        </w:rPr>
        <w:t> </w:t>
      </w:r>
      <w:r>
        <w:rPr>
          <w:rFonts w:ascii="Times New Roman" w:hAnsi="Times New Roman"/>
          <w:b w:val="false"/>
          <w:i w:val="false"/>
          <w:color w:val="000000"/>
          <w:sz w:val="22"/>
        </w:rPr>
        <w:t>A contested case may be resolved by informal settlement. Settlement negotiations may be initiated at any stage of a contested case by the executive director, prosecuting attorney, the respondent, the board or its designee. Neither the board nor the respondent is required to participate in the informal settlement process. The executive director and chairperson of the board, or the chairperson’s designee(s), shall have authority to negotiate on behalf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51.19(2)</w:t>
      </w:r>
      <w:r>
        <w:rPr>
          <w:rFonts w:ascii="Times New Roman" w:hAnsi="Times New Roman"/>
          <w:b w:val="false"/>
          <w:i w:val="false"/>
          <w:color w:val="000000"/>
          <w:sz w:val="22"/>
        </w:rPr>
        <w:t> </w:t>
      </w:r>
      <w:r>
        <w:rPr>
          <w:rFonts w:ascii="Times New Roman" w:hAnsi="Times New Roman"/>
          <w:b w:val="false"/>
          <w:i w:val="false"/>
          <w:color w:val="000000"/>
          <w:sz w:val="22"/>
        </w:rPr>
        <w:t>The full board shall not be involved in negotiation until a written proposed settlement is submitted to the full board for approval, unless both parties waive this prohibition.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51.19(3)</w:t>
      </w:r>
      <w:r>
        <w:rPr>
          <w:rFonts w:ascii="Times New Roman" w:hAnsi="Times New Roman"/>
          <w:b w:val="false"/>
          <w:i w:val="false"/>
          <w:color w:val="000000"/>
          <w:sz w:val="22"/>
        </w:rPr>
        <w:t> </w:t>
      </w:r>
      <w:r>
        <w:rPr>
          <w:rFonts w:ascii="Times New Roman" w:hAnsi="Times New Roman"/>
          <w:b w:val="false"/>
          <w:i w:val="false"/>
          <w:color w:val="000000"/>
          <w:sz w:val="22"/>
        </w:rPr>
        <w:t xml:space="preserve">Consent to negotiation by the respondent during informal settlement negotiation constitutes a waiver of notice and opportunity to be heard pursuant to Iowa Code section </w:t>
      </w:r>
      <w:hyperlink r:id="rId4">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Thereafter, the prosecuting attorney is authorized to discuss informal settlement with the board chairperson or designee(s).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51.19(4)</w:t>
      </w:r>
      <w:r>
        <w:rPr>
          <w:rFonts w:ascii="Times New Roman" w:hAnsi="Times New Roman"/>
          <w:b w:val="false"/>
          <w:i w:val="false"/>
          <w:color w:val="000000"/>
          <w:sz w:val="22"/>
        </w:rPr>
        <w:t> </w:t>
      </w:r>
      <w:r>
        <w:rPr>
          <w:rFonts w:ascii="Times New Roman" w:hAnsi="Times New Roman"/>
          <w:b w:val="false"/>
          <w:i w:val="false"/>
          <w:color w:val="000000"/>
          <w:sz w:val="22"/>
        </w:rPr>
        <w:t>Negotiations for a proposed settlement shall be completed at least ten days prior to the hearing date set by the order for hearing. However, after consultation with the board chairperson or designee, the executive director shall have the power to grant additional time for continued negotiations in instances where additional time will likely lead to a satisfactory settlement prior to the hearing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51.19(5)</w:t>
      </w:r>
      <w:r>
        <w:rPr>
          <w:rFonts w:ascii="Times New Roman" w:hAnsi="Times New Roman"/>
          <w:b w:val="false"/>
          <w:i w:val="false"/>
          <w:color w:val="000000"/>
          <w:sz w:val="22"/>
        </w:rPr>
        <w:t> </w:t>
      </w:r>
      <w:r>
        <w:rPr>
          <w:rFonts w:ascii="Times New Roman" w:hAnsi="Times New Roman"/>
          <w:b w:val="false"/>
          <w:i w:val="false"/>
          <w:color w:val="000000"/>
          <w:sz w:val="22"/>
        </w:rPr>
        <w:t>No proposed settlement shall be presented to the board for approval until it is in final, written form signed by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51.19(6)</w:t>
      </w:r>
      <w:r>
        <w:rPr>
          <w:rFonts w:ascii="Times New Roman" w:hAnsi="Times New Roman"/>
          <w:b w:val="false"/>
          <w:i w:val="false"/>
          <w:color w:val="000000"/>
          <w:sz w:val="22"/>
        </w:rPr>
        <w:t> </w:t>
      </w:r>
      <w:r>
        <w:rPr>
          <w:rFonts w:ascii="Times New Roman" w:hAnsi="Times New Roman"/>
          <w:b w:val="false"/>
          <w:i w:val="false"/>
          <w:color w:val="000000"/>
          <w:sz w:val="22"/>
        </w:rPr>
        <w:t>All proposed settlements are subject to approval of a majority of the full board. If the board fails to approve a proposed settlement, it shall be of no force or effect to either party. The proposed settlement shall be binding if approved by the board and signed by both the chairperson or the chairperson’s designee and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51.19(7)</w:t>
      </w:r>
      <w:r>
        <w:rPr>
          <w:rFonts w:ascii="Times New Roman" w:hAnsi="Times New Roman"/>
          <w:b w:val="false"/>
          <w:i w:val="false"/>
          <w:color w:val="000000"/>
          <w:sz w:val="22"/>
        </w:rPr>
        <w:t> </w:t>
      </w:r>
      <w:r>
        <w:rPr>
          <w:rFonts w:ascii="Times New Roman" w:hAnsi="Times New Roman"/>
          <w:b w:val="false"/>
          <w:i w:val="false"/>
          <w:color w:val="000000"/>
          <w:sz w:val="22"/>
        </w:rPr>
        <w:t>A board member who participates in the negotiation of a proposed settlement is not disqualified from participating in the adjudication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51.19(8)</w:t>
      </w:r>
      <w:r>
        <w:rPr>
          <w:rFonts w:ascii="Times New Roman" w:hAnsi="Times New Roman"/>
          <w:b w:val="false"/>
          <w:i w:val="false"/>
          <w:color w:val="000000"/>
          <w:sz w:val="22"/>
        </w:rPr>
        <w:t> </w:t>
      </w:r>
      <w:r>
        <w:rPr>
          <w:rFonts w:ascii="Times New Roman" w:hAnsi="Times New Roman"/>
          <w:b w:val="false"/>
          <w:i w:val="false"/>
          <w:color w:val="000000"/>
          <w:sz w:val="22"/>
        </w:rPr>
        <w:t>Consent to settlement negotiations by the respondent constitutes a waiver of any objection to the participation in the adjudication of the contested case of any board member who participated in the review of a settlement agreement which was not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51.19(9)</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provision for payment of a quarterly fee as stated in </w:t>
      </w:r>
      <w:hyperlink r:id="rId5">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 xml:space="preserve"> or such other fees as specified by the board may be included in the settlement agreement.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8369B</w:t>
      </w:r>
      <w:r>
        <w:rPr>
          <w:rFonts w:ascii="Times New Roman" w:hAnsi="Times New Roman"/>
          <w:b w:val="false"/>
          <w:i w:val="false"/>
          <w:color w:val="000000"/>
          <w:sz w:val="16"/>
        </w:rPr>
        <w:t>, IAB 12/16/09, effective 1/20/10</w:t>
      </w:r>
      <w:r>
        <w:rPr>
          <w:rFonts w:ascii="Times New Roman" w:hAnsi="Times New Roman"/>
          <w:b w:val="false"/>
          <w:i w:val="false"/>
          <w:color w:val="000000"/>
          <w:sz w:val="16"/>
        </w:rPr>
        <w:t xml:space="preserve">; </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7.pdf" Type="http://schemas.openxmlformats.org/officeDocument/2006/relationships/hyperlink" Id="rId4"/>
    <Relationship TargetMode="External" Target="https://www.legis.iowa.gov/docs/iac/chapter/650.15.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