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filed with the board. In the event the application for continuance is not contested, the executive director shall serve as presiding officer and issue the appropriate order. In the event the application for continuance is contested, the matter shall be heard by the board as presiding officer or may be delegated by the board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five working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two days after the oral request unless that requirement is waived by the presiding officer. No application for continuance shall be made or granted without notice to all parties except in an emergency where notice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