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Prehearing conferences shall be conducted by the executive director, who may request the assistance of an administrative law judge. A written request for prehearing conference or an order for prehearing conference on the executive director’s own motion shall be filed prior to the contested case hearing, but no later than 20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51.17(2)</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shall be prepared to discuss the following subjects, and the executive director or administrative law judge may issue appropriate orders concerning: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expert and other witness lists. Witness lists may be amended subsequent to the prehearing conference within the time limits established by the executive director or administrative law judge at the hearing conference. Any such amendments must be served on all parties.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executive director or administrative law judge at the prehearing conference. Exhibits, other than rebuttal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Stipulations for waiver of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