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650—51.15</w:t>
      </w:r>
      <w:r>
        <w:rPr>
          <w:rFonts w:ascii="Times New Roman" w:hAnsi="Times New Roman"/>
          <w:b/>
          <w:i w:val="false"/>
          <w:color w:val="000000"/>
          <w:sz w:val="22"/>
        </w:rPr>
        <w:t xml:space="preserve">(17A,272C) </w:t>
      </w:r>
      <w:r>
        <w:rPr>
          <w:rFonts w:ascii="Times New Roman" w:hAnsi="Times New Roman"/>
          <w:b/>
          <w:i w:val="false"/>
          <w:color w:val="000000"/>
          <w:sz w:val="22"/>
        </w:rPr>
        <w:t xml:space="preserve">Issuance of subpoenas in a contested case. </w:t>
      </w:r>
      <w:r>
        <w:rPr>
          <w:rFonts w:ascii="Times New Roman" w:hAnsi="Times New Roman"/>
          <w:b w:val="false"/>
          <w:i w:val="false"/>
          <w:color w:val="000000"/>
          <w:sz w:val="22"/>
        </w:rPr>
        <w:t xml:space="preserve">Pursuant to Iowa Code sections </w:t>
      </w:r>
      <w:hyperlink r:id="rId4">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 the board has the authority to issue subpoenas to compel the attendance of witnesses at depositions or hearing and to compel the production of evidence deemed necessary in connection with a contested case. A subpoena issued by the board in a contested case may seek evidence whether or not it is privileged or confidential under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director or designee may, upon the written request of the licensee or the state, issue a subpoena to compel the attendance of witnesses at depositions or hearing, and to compel the production of books, correspondence, papers, records, and other real evidence deemed necessary in connection with a contested case. A subpoena to produce evidence or to permit inspection may be joined with a subpoena to testify at a deposition or hearing, or may be issued separately. A request for a subpoena of mental health records must confirm that the conditions described in </w:t>
      </w:r>
      <w:hyperlink r:id="rId6">
        <w:r>
          <w:rPr>
            <w:rStyle w:val="Hyperlink"/>
            <w:rFonts w:ascii="Times New Roman" w:hAnsi="Times New Roman"/>
            <w:b w:val="false"/>
            <w:i w:val="false"/>
            <w:color w:val="000000"/>
            <w:sz w:val="22"/>
          </w:rPr>
          <w:t>650—subrule 31.5(1)</w:t>
        </w:r>
      </w:hyperlink>
      <w:r>
        <w:rPr>
          <w:rFonts w:ascii="Times New Roman" w:hAnsi="Times New Roman"/>
          <w:b w:val="false"/>
          <w:i w:val="false"/>
          <w:color w:val="000000"/>
          <w:sz w:val="22"/>
        </w:rPr>
        <w:t xml:space="preserve"> have been satisfied prior to the issuance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51.15(2)</w:t>
      </w:r>
      <w:r>
        <w:rPr>
          <w:rFonts w:ascii="Times New Roman" w:hAnsi="Times New Roman"/>
          <w:b w:val="false"/>
          <w:i w:val="false"/>
          <w:color w:val="000000"/>
          <w:sz w:val="22"/>
        </w:rPr>
        <w:t> </w:t>
      </w:r>
      <w:r>
        <w:rPr>
          <w:rFonts w:ascii="Times New Roman" w:hAnsi="Times New Roman"/>
          <w:b w:val="false"/>
          <w:i w:val="false"/>
          <w:color w:val="000000"/>
          <w:sz w:val="22"/>
        </w:rPr>
        <w:t>A request for a subpoena shall include the following information, as applicable, unless the subpoena is requested to compel testimony or documents for rebuttal or impeachment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requesting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shall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shall be commanded to attend and give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requested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subpoena request for mental health records, confirmation that the conditions described in </w:t>
      </w:r>
      <w:hyperlink r:id="rId7">
        <w:r>
          <w:rPr>
            <w:rStyle w:val="Hyperlink"/>
            <w:rFonts w:ascii="Times New Roman" w:hAnsi="Times New Roman"/>
            <w:b w:val="false"/>
            <w:i w:val="false"/>
            <w:color w:val="000000"/>
            <w:sz w:val="22"/>
          </w:rPr>
          <w:t>650—subrule 31.5(1)</w:t>
        </w:r>
      </w:hyperlink>
      <w:r>
        <w:rPr>
          <w:rFonts w:ascii="Times New Roman" w:hAnsi="Times New Roman"/>
          <w:b w:val="false"/>
          <w:i w:val="false"/>
          <w:color w:val="000000"/>
          <w:sz w:val="22"/>
        </w:rPr>
        <w:t xml:space="preserve">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51.15(3)</w:t>
      </w:r>
      <w:r>
        <w:rPr>
          <w:rFonts w:ascii="Times New Roman" w:hAnsi="Times New Roman"/>
          <w:b w:val="false"/>
          <w:i w:val="false"/>
          <w:color w:val="000000"/>
          <w:sz w:val="22"/>
        </w:rPr>
        <w:t> </w:t>
      </w:r>
      <w:r>
        <w:rPr>
          <w:rFonts w:ascii="Times New Roman" w:hAnsi="Times New Roman"/>
          <w:b w:val="false"/>
          <w:i w:val="false"/>
          <w:color w:val="000000"/>
          <w:sz w:val="22"/>
        </w:rPr>
        <w:t>Each subpoena shall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caption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who requested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commanded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the person is commanded to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executive director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return of service which shall be attached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51.15(4)</w:t>
      </w:r>
      <w:r>
        <w:rPr>
          <w:rFonts w:ascii="Times New Roman" w:hAnsi="Times New Roman"/>
          <w:b w:val="false"/>
          <w:i w:val="false"/>
          <w:color w:val="000000"/>
          <w:sz w:val="22"/>
        </w:rPr>
        <w:t> </w:t>
      </w:r>
      <w:r>
        <w:rPr>
          <w:rFonts w:ascii="Times New Roman" w:hAnsi="Times New Roman"/>
          <w:b w:val="false"/>
          <w:i w:val="false"/>
          <w:color w:val="000000"/>
          <w:sz w:val="22"/>
        </w:rPr>
        <w:t>Unless a subpoena is requested to compel testimony or documents for rebuttal or impeachment purposes, the executive director or designee shall mail copies of all subpoenas to the parties to the contested case. The person who requested the subpoena is responsible for serving the subpoena upon the subject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51.15(5)</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or any party to the contested case who desires to challenge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51.15(6)</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board may request an administrative law judge to hold a hearing and issue a decision, or the board may conduct the hearing and issue a decision. Oral argument may be scheduled at the discretion of the board or administrative law judge. The administrative law judge or the board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51.15(7)</w:t>
      </w:r>
      <w:r>
        <w:rPr>
          <w:rFonts w:ascii="Times New Roman" w:hAnsi="Times New Roman"/>
          <w:b w:val="false"/>
          <w:i w:val="false"/>
          <w:color w:val="000000"/>
          <w:sz w:val="22"/>
        </w:rPr>
        <w:t> </w:t>
      </w:r>
      <w:r>
        <w:rPr>
          <w:rFonts w:ascii="Times New Roman" w:hAnsi="Times New Roman"/>
          <w:b w:val="false"/>
          <w:i w:val="false"/>
          <w:color w:val="000000"/>
          <w:sz w:val="22"/>
        </w:rPr>
        <w:t>A person aggrieved by a ruling of an administrative law judge who desires to challenge that ruling must appeal the ruling to the board by serving on the board’s executive director, either in person or by certified mail, a notice of appeal within ten days after service of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51.15(8)</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the person under investigation, the board’s decision is final for purposes of judicial review. If the person contesting the subpoena is the person under investigation, the board’s decision is not final for purposes of judicial review until there is a final decision in the contested case.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3.pdf" Type="http://schemas.openxmlformats.org/officeDocument/2006/relationships/hyperlink" Id="rId4"/>
    <Relationship TargetMode="External" Target="https://www.legis.iowa.gov/docs/ico/chapter/272C.6.pdf" Type="http://schemas.openxmlformats.org/officeDocument/2006/relationships/hyperlink" Id="rId5"/>
    <Relationship TargetMode="External" Target="https://www.legis.iowa.gov/docs/iac/rule/650.31.5.pdf" Type="http://schemas.openxmlformats.org/officeDocument/2006/relationships/hyperlink" Id="rId6"/>
    <Relationship TargetMode="External" Target="https://www.legis.iowa.gov/docs/iac/rule/650.31.5.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