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650—51.14</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4">
        <w:r>
          <w:rPr>
            <w:rStyle w:val="Hyperlink"/>
            <w:rFonts w:ascii="Times New Roman" w:hAnsi="Times New Roman"/>
            <w:b w:val="false"/>
            <w:i w:val="false"/>
            <w:color w:val="000000"/>
            <w:sz w:val="22"/>
          </w:rPr>
          <w:t>51.14(1)</w:t>
        </w:r>
      </w:hyperlink>
      <w:r>
        <w:rPr>
          <w:rFonts w:ascii="Times New Roman" w:hAnsi="Times New Roman"/>
          <w:b w:val="false"/>
          <w:i w:val="false"/>
          <w:color w:val="000000"/>
          <w:sz w:val="22"/>
        </w:rPr>
        <w:t>. The presiding officer may rule on the basis of the written motion and any response, or may order argument on the motion.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51.1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