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650—51.10</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51.10(2)</w:t>
      </w:r>
      <w:r>
        <w:rPr>
          <w:rFonts w:ascii="Times New Roman" w:hAnsi="Times New Roman"/>
          <w:b w:val="false"/>
          <w:i w:val="false"/>
          <w:color w:val="000000"/>
          <w:sz w:val="22"/>
        </w:rPr>
        <w:t> </w:t>
      </w:r>
      <w:r>
        <w:rPr>
          <w:rFonts w:ascii="Times New Roman" w:hAnsi="Times New Roman"/>
          <w:b w:val="false"/>
          <w:i w:val="false"/>
          <w:color w:val="000000"/>
          <w:sz w:val="22"/>
        </w:rPr>
        <w:t>The term “personally investigated” means taking affirmative steps to interview witnesses directly or to obtain documents or other information directly. The term “personally investigated”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direction and supervision of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Unsolicited receipt of information which is relayed to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another person’s investigative work product in the course of determining whether there is probable cause to initiate a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Exposure to factual information while performing other board functions, including fact gathering for purposes other than investigation of the matter which culminates in a contested case.</w:t>
      </w:r>
    </w:p>
    <w:p>
      <w:pPr>
        <w:spacing w:before="0" w:after="0"/>
        <w:ind w:left="120"/>
        <w:jc w:val="both"/>
      </w:pPr>
      <w:r>
        <w:rPr>
          <w:rFonts w:ascii="Times New Roman" w:hAnsi="Times New Roman"/>
          <w:b w:val="false"/>
          <w:i w:val="false"/>
          <w:color w:val="000000"/>
          <w:sz w:val="22"/>
        </w:rPr>
        <w:t xml:space="preserve">Factual information relevant to the merits of a contested case received by a person who later serves as presiding officer in that case shall be disclosed if required by Iowa Code section </w:t>
      </w:r>
      <w:hyperlink r:id="rId4">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 section 19</w:t>
      </w:r>
      <w:r>
        <w:rPr>
          <w:rFonts w:ascii="Times New Roman" w:hAnsi="Times New Roman"/>
          <w:b w:val="false"/>
          <w:i w:val="false"/>
          <w:color w:val="000000"/>
          <w:sz w:val="22"/>
        </w:rPr>
        <w:t xml:space="preserve">, and subrules </w:t>
      </w:r>
      <w:hyperlink r:id="rId5">
        <w:r>
          <w:rPr>
            <w:rStyle w:val="Hyperlink"/>
            <w:rFonts w:ascii="Times New Roman" w:hAnsi="Times New Roman"/>
            <w:b w:val="false"/>
            <w:i w:val="false"/>
            <w:color w:val="000000"/>
            <w:sz w:val="22"/>
          </w:rPr>
          <w:t>51.10(3)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51.23(9)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7">
        <w:r>
          <w:rPr>
            <w:rStyle w:val="Hyperlink"/>
            <w:rFonts w:ascii="Times New Roman" w:hAnsi="Times New Roman"/>
            <w:b w:val="false"/>
            <w:i w:val="false"/>
            <w:color w:val="000000"/>
            <w:sz w:val="22"/>
          </w:rPr>
          <w:t>51.10(1)</w:t>
        </w:r>
      </w:hyperlink>
      <w:r>
        <w:rPr>
          <w:rFonts w:ascii="Times New Roman" w:hAnsi="Times New Roman"/>
          <w:b w:val="false"/>
          <w:i w:val="false"/>
          <w:color w:val="000000"/>
          <w:sz w:val="22"/>
        </w:rPr>
        <w:t xml:space="preserve">, the party shall file a motion supported by an affidavit pursuant to </w:t>
      </w:r>
      <w:r>
        <w:rPr>
          <w:rFonts w:ascii="Times New Roman" w:hAnsi="Times New Roman"/>
          <w:b w:val="false"/>
          <w:i w:val="false"/>
          <w:color w:val="000000"/>
          <w:sz w:val="22"/>
        </w:rPr>
        <w:t>1998 Iowa Acts, chapter 1202, section 19(7)</w:t>
      </w:r>
      <w:r>
        <w:rPr>
          <w:rFonts w:ascii="Times New Roman" w:hAnsi="Times New Roman"/>
          <w:b w:val="false"/>
          <w:i w:val="false"/>
          <w:color w:val="000000"/>
          <w:sz w:val="22"/>
        </w:rPr>
        <w:t>. The motion must be filed as soon as practicable after the reason alleged in the motion becomes known to the party. The board shall determine the matter as part of the record in this case.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7.pdf" Type="http://schemas.openxmlformats.org/officeDocument/2006/relationships/hyperlink" Id="rId4"/>
    <Relationship TargetMode="External" Target="https://www.legis.iowa.gov/docs/iac/rule/650.51.10.pdf" Type="http://schemas.openxmlformats.org/officeDocument/2006/relationships/hyperlink" Id="rId5"/>
    <Relationship TargetMode="External" Target="https://www.legis.iowa.gov/docs/iac/rule/650.51.23.pdf" Type="http://schemas.openxmlformats.org/officeDocument/2006/relationships/hyperlink" Id="rId6"/>
    <Relationship TargetMode="External" Target="https://www.legis.iowa.gov/docs/iac/rule/650.51.10.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