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650—51.1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 and 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applies to contested case proceedings conducted by the board of dental examiners.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