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650—50.3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Eligibility determination.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50.3(1)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individual who has not yet submitted a completed license application may petition the board for a determination of whether one or more of the individual’s convictions are disqualifying offenses that would render the individual ineligible for licensure. An individual with a conviction is not required to petition the board for an eligibility determination prior to applying for licensure.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50.3(2)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To petition the board for an eligibility determination of whether one or more of the petitioner’s convictions are disqualifying offenses, a petitioner shall submit all of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completed petition for eligibility determination form;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complete criminal record for each of the petitioner’s convictions;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personal statement regarding whether each conviction directly relates to the duties and responsibilities of the profession and why the board should find the petitioner rehabilitated;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evidence of rehabilitation that the petitioner wishes to be considered by the board;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Payment of a nonrefundable fee of $25.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5747C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7/14/21, effective 8/18/21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