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650—36.4</w:t>
      </w:r>
      <w:r>
        <w:rPr>
          <w:rFonts w:ascii="Times New Roman" w:hAnsi="Times New Roman"/>
          <w:b/>
          <w:i w:val="false"/>
          <w:color w:val="000000"/>
          <w:sz w:val="22"/>
        </w:rPr>
        <w:t xml:space="preserve">(272D) </w:t>
      </w:r>
      <w:r>
        <w:rPr>
          <w:rFonts w:ascii="Times New Roman" w:hAnsi="Times New Roman"/>
          <w:b/>
          <w:i w:val="false"/>
          <w:color w:val="000000"/>
          <w:sz w:val="22"/>
        </w:rPr>
        <w:t xml:space="preserve">Sharing of information. </w:t>
      </w:r>
      <w:r>
        <w:rPr>
          <w:rFonts w:ascii="Times New Roman" w:hAnsi="Times New Roman"/>
          <w:b w:val="false"/>
          <w:i w:val="false"/>
          <w:color w:val="000000"/>
          <w:sz w:val="22"/>
        </w:rPr>
        <w:t xml:space="preserve">Notwithstanding any statutory confidentiality provision, the board may share information with the centralized collection unit of the department of revenue through automated means for the sole purpose of identifying applicants, licensees, permit holders, or registrants subject to enforcement under Iowa Code chapter </w:t>
      </w:r>
      <w:hyperlink r:id="rId4">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8329B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D.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