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650—36.2</w:t>
      </w:r>
      <w:r>
        <w:rPr>
          <w:rFonts w:ascii="Times New Roman" w:hAnsi="Times New Roman"/>
          <w:b/>
          <w:i w:val="false"/>
          <w:color w:val="000000"/>
          <w:sz w:val="22"/>
        </w:rPr>
        <w:t xml:space="preserve">(272D)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The board shall deny the issuance or renewal of a license, permit, or registration upon the receipt of a certificate of noncompliance from the centralized collection unit.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applicant, licensee, permit holder, or registrant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the issuance or renewal of a license, permit, or registration, as specified in the denial notice, shall be 60 days following service of the denial notice upon the applicant, licensee, permit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denial notice upon the applicant, licensee, permit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36.2(4)</w:t>
      </w:r>
      <w:r>
        <w:rPr>
          <w:rFonts w:ascii="Times New Roman" w:hAnsi="Times New Roman"/>
          <w:b w:val="false"/>
          <w:i w:val="false"/>
          <w:color w:val="000000"/>
          <w:sz w:val="22"/>
        </w:rPr>
        <w:t> </w:t>
      </w:r>
      <w:r>
        <w:rPr>
          <w:rFonts w:ascii="Times New Roman" w:hAnsi="Times New Roman"/>
          <w:b w:val="false"/>
          <w:i/>
          <w:color w:val="000000"/>
          <w:sz w:val="22"/>
        </w:rPr>
        <w:t xml:space="preserve">Licensees, permit holders, registrants, and applicants responsible to inform board. </w:t>
      </w:r>
      <w:r>
        <w:rPr>
          <w:rFonts w:ascii="Times New Roman" w:hAnsi="Times New Roman"/>
          <w:b w:val="false"/>
          <w:i w:val="false"/>
          <w:color w:val="000000"/>
          <w:sz w:val="22"/>
        </w:rPr>
        <w:t>Licensees, permit holders, registrants, and applicants shall keep the board informed of all court actions and all centralized collection unit actions taken under or in connection with the Act. Licensees, permit holders, registrants, and applicants shall also provide the board copies, within seven days of filing or issuance, of all applications filed with the district court pursuant to the Act, all court orders entered in such actions, and any withdrawals of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denial. </w:t>
      </w:r>
      <w:r>
        <w:rPr>
          <w:rFonts w:ascii="Times New Roman" w:hAnsi="Times New Roman"/>
          <w:b w:val="false"/>
          <w:i w:val="false"/>
          <w:color w:val="000000"/>
          <w:sz w:val="22"/>
        </w:rPr>
        <w:t>All board fees required for application, renewal, or reinstatement must be paid by applicants, licensees, permit holders, or registrants before a license, permit, or registration will be issued, renewed, or reinstated after the board has denied the issuance or renewal of a license, permit,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an applicant, licensee, permit holder, or registrant files a timely district court action following service of a board denial notice, the board shall continue with the intended action described in the denial notice upon the receipt of a court order lifting the stay, dismissing the action, or otherwise directing the board to proceed. For purposes of determining the effective date of the denial of the issuance or renewal of a license, permit, or registration,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applicant, licensee, permit holder, or registrant in writing through regular first-class mail, or such other means as the board determines appropriate in the circumstances, within ten days of the effective date of the denial of the issuance or renewal of a license, permit, or registration and shall similarly notify the applicant, licensee, permit holder, or registrant if the license, permit, or registration is issued or renewed following the board’s receipt of a withdrawal certificate.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