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650—35.2</w:t>
      </w:r>
      <w:r>
        <w:rPr>
          <w:rFonts w:ascii="Times New Roman" w:hAnsi="Times New Roman"/>
          <w:b/>
          <w:i w:val="false"/>
          <w:color w:val="000000"/>
          <w:sz w:val="22"/>
        </w:rPr>
        <w:t xml:space="preserve">(272C) </w:t>
      </w:r>
      <w:r>
        <w:rPr>
          <w:rFonts w:ascii="Times New Roman" w:hAnsi="Times New Roman"/>
          <w:b/>
          <w:i w:val="false"/>
          <w:color w:val="000000"/>
          <w:sz w:val="22"/>
        </w:rPr>
        <w:t xml:space="preserve">Board referrals to the Iowa practitioner review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board referral to IPRC. </w:t>
      </w:r>
      <w:r>
        <w:rPr>
          <w:rFonts w:ascii="Times New Roman" w:hAnsi="Times New Roman"/>
          <w:b w:val="false"/>
          <w:i w:val="false"/>
          <w:color w:val="000000"/>
          <w:sz w:val="22"/>
        </w:rPr>
        <w:t>The board may refer a practitioner who is the subject of a board order to the IPRC for monitoring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practitioner has an impairment as defined in rule </w:t>
      </w:r>
      <w:hyperlink r:id="rId4">
        <w:r>
          <w:rPr>
            <w:rStyle w:val="Hyperlink"/>
            <w:rFonts w:ascii="Times New Roman" w:hAnsi="Times New Roman"/>
            <w:b w:val="false"/>
            <w:i w:val="false"/>
            <w:color w:val="000000"/>
            <w:sz w:val="22"/>
          </w:rPr>
          <w:t>650—35.1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determines that the practitioner is an appropriate candidate for participation in the IPRC.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IPRC determines that the practitioner is an appropriate candidate for participation in the IPRC.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w:t>
      </w:r>
      <w:r>
        <w:rPr>
          <w:rFonts w:ascii="Times New Roman" w:hAnsi="Times New Roman"/>
          <w:b w:val="false"/>
          <w:i w:val="false"/>
          <w:color w:val="000000"/>
          <w:sz w:val="22"/>
        </w:rPr>
        <w:t> </w:t>
      </w:r>
      <w:r>
        <w:rPr>
          <w:rFonts w:ascii="Times New Roman" w:hAnsi="Times New Roman"/>
          <w:b w:val="false"/>
          <w:i/>
          <w:color w:val="000000"/>
          <w:sz w:val="22"/>
        </w:rPr>
        <w:t xml:space="preserve">Referral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Determination of whether a practitioner is appropriate for referral to the IPRC is in the sole discretion of the board. Upon the board’s approval, a referral shall be made to the IPRC and the committee shall be provided with relevant information about the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IPRC shall make a determination whether the practitioner is an appropriate candidate for participation in the program. Upon this determination, the IPRC shall offer the referred practitioner a contract that specifies terms of participation in the program. See </w:t>
      </w:r>
      <w:hyperlink r:id="rId5">
        <w:r>
          <w:rPr>
            <w:rStyle w:val="Hyperlink"/>
            <w:rFonts w:ascii="Times New Roman" w:hAnsi="Times New Roman"/>
            <w:b w:val="false"/>
            <w:i w:val="false"/>
            <w:color w:val="000000"/>
            <w:sz w:val="22"/>
          </w:rPr>
          <w:t>650—35.1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IPRC finds that the practitioner is not an appropriate candidate for participation in the IPP or if the practitioner fails to sign the contract in the time period specified by the IPRC, the IPRC shall notify the board promptly.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practitioner signs the contract, the IPRC shall notify the board that the referral has been finalized. The practitioner’s failure to sign a contract within the time period specified by the IPRC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Referral of a practitioner by the board to the IPP shall not relieve the board of any duties of the board and shall not divest the board of any authority or jurisdiction otherwise provided. Upon referral, the practitioner shall be subject to the provisions of </w:t>
      </w:r>
      <w:hyperlink r:id="rId6">
        <w:r>
          <w:rPr>
            <w:rStyle w:val="Hyperlink"/>
            <w:rFonts w:ascii="Times New Roman" w:hAnsi="Times New Roman"/>
            <w:b w:val="false"/>
            <w:i w:val="false"/>
            <w:color w:val="000000"/>
            <w:sz w:val="22"/>
          </w:rPr>
          <w:t>650—Chapter 35</w:t>
        </w:r>
      </w:hyperlink>
      <w:r>
        <w:rPr>
          <w:rFonts w:ascii="Times New Roman" w:hAnsi="Times New Roman"/>
          <w:b w:val="false"/>
          <w:i w:val="false"/>
          <w:color w:val="000000"/>
          <w:sz w:val="22"/>
        </w:rPr>
        <w:t>. Specifically, the practitioner shall be subject to board review and potential formal disciplinary action for noncompliance with the provisions of the IPP contract.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35.1.pdf" Type="http://schemas.openxmlformats.org/officeDocument/2006/relationships/hyperlink" Id="rId4"/>
    <Relationship TargetMode="External" Target="https://www.legis.iowa.gov/docs/iac/rule/650.35.1.pdf" Type="http://schemas.openxmlformats.org/officeDocument/2006/relationships/hyperlink" Id="rId5"/>
    <Relationship TargetMode="External" Target="https://www.legis.iowa.gov/docs/iac/chapter/650.35.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