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650—33.3</w:t>
      </w:r>
      <w:r>
        <w:rPr>
          <w:rFonts w:ascii="Times New Roman" w:hAnsi="Times New Roman"/>
          <w:b/>
          <w:i w:val="false"/>
          <w:color w:val="000000"/>
          <w:sz w:val="22"/>
        </w:rPr>
        <w:t xml:space="preserve">(252J,598) </w:t>
      </w:r>
      <w:r>
        <w:rPr>
          <w:rFonts w:ascii="Times New Roman" w:hAnsi="Times New Roman"/>
          <w:b/>
          <w:i w:val="false"/>
          <w:color w:val="000000"/>
          <w:sz w:val="22"/>
        </w:rPr>
        <w:t xml:space="preserve">Suspension or revocation of a license or registration. </w:t>
      </w:r>
      <w:r>
        <w:rPr>
          <w:rFonts w:ascii="Times New Roman" w:hAnsi="Times New Roman"/>
          <w:b w:val="false"/>
          <w:i w:val="false"/>
          <w:color w:val="000000"/>
          <w:sz w:val="22"/>
        </w:rPr>
        <w:t>The board shall suspend or revoke a license or registration upon the receipt of a certificate from the child support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Revocation or suspension notice shall be served upon the licensee or registrant by certified mail, return receipt requested; by personal service;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The effective date of the suspension or revocation of a license or registration, as specified in the revocation or suspension notice, shall be 60 days following service of the revocation or suspension notice upon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revocation or suspension notice upon the licensee or registrant and is directed to notify the licensee or registrant that the license or registration will be suspended unless the license or registration is already suspended on other grounds. In the event that the license or registration is on suspension, the executive director shall notify the licensee or registrant of the board’s intention to revoke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color w:val="000000"/>
          <w:sz w:val="22"/>
        </w:rPr>
        <w:t xml:space="preserve">Licensee or registrant responsible to inform board. </w:t>
      </w:r>
      <w:r>
        <w:rPr>
          <w:rFonts w:ascii="Times New Roman" w:hAnsi="Times New Roman"/>
          <w:b w:val="false"/>
          <w:i w:val="false"/>
          <w:color w:val="000000"/>
          <w:sz w:val="22"/>
        </w:rPr>
        <w:t>The licensee or registrant shall keep the board informed of all court actions, and all child support unit action taken under or in connection with the Act, and shall provide the board copies, within seven days of filing or issuance, of all applications filed with the district court pursuant to the Act, all court orders entered in such actions, and any withdrawal certificates issued by the child support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or registration suspension or revocation. </w:t>
      </w:r>
      <w:r>
        <w:rPr>
          <w:rFonts w:ascii="Times New Roman" w:hAnsi="Times New Roman"/>
          <w:b w:val="false"/>
          <w:i w:val="false"/>
          <w:color w:val="000000"/>
          <w:sz w:val="22"/>
        </w:rPr>
        <w:t>A licensee or registrant shall pay all board fees required for license or registration renewal or reinstatement before a license or registration will be reinstated after the board has suspended a license or registration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In the event a licensee or registrant files a timely district court action pursuant to the Act and following service of a revocation or suspension notice, the board shall continue with the intended action described in the revocation or suspension notice upon the receipt of a court order lifting the stay, dismissing the action, or otherwise directing the board to proceed. For purposes of determining the effective date of the suspension or revocation,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or registrant in writing through regular first-class mail, or such other means as the board determines appropriate in the circumstances, within ten days of the effective date of the suspension or revocation of a license or registration, and shall similarly notify the licensee or registrant if the license or registration is reinstated following the board’s receipt of a withdrawal certificate.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