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650—33.2</w:t>
      </w:r>
      <w:r>
        <w:rPr>
          <w:rFonts w:ascii="Times New Roman" w:hAnsi="Times New Roman"/>
          <w:b/>
          <w:i w:val="false"/>
          <w:color w:val="000000"/>
          <w:sz w:val="22"/>
        </w:rPr>
        <w:t xml:space="preserve">(252J,598) </w:t>
      </w:r>
      <w:r>
        <w:rPr>
          <w:rFonts w:ascii="Times New Roman" w:hAnsi="Times New Roman"/>
          <w:b/>
          <w:i w:val="false"/>
          <w:color w:val="000000"/>
          <w:sz w:val="22"/>
        </w:rPr>
        <w:t xml:space="preserve">Issuance or renewal of a license or registration—denial. </w:t>
      </w:r>
      <w:r>
        <w:rPr>
          <w:rFonts w:ascii="Times New Roman" w:hAnsi="Times New Roman"/>
          <w:b w:val="false"/>
          <w:i w:val="false"/>
          <w:color w:val="000000"/>
          <w:sz w:val="22"/>
        </w:rPr>
        <w:t>The board shall deny the issuance or renewal of a license or registration upon the receipt of a certificate from the child support unit.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w:t>
      </w:r>
      <w:r>
        <w:rPr>
          <w:rFonts w:ascii="Times New Roman" w:hAnsi="Times New Roman"/>
          <w:b w:val="false"/>
          <w:i w:val="false"/>
          <w:color w:val="000000"/>
          <w:sz w:val="22"/>
        </w:rPr>
        <w:t> </w:t>
      </w:r>
      <w:r>
        <w:rPr>
          <w:rFonts w:ascii="Times New Roman" w:hAnsi="Times New Roman"/>
          <w:b w:val="false"/>
          <w:i/>
          <w:color w:val="000000"/>
          <w:sz w:val="22"/>
        </w:rPr>
        <w:t xml:space="preserve">Service of denial notice. </w:t>
      </w:r>
      <w:r>
        <w:rPr>
          <w:rFonts w:ascii="Times New Roman" w:hAnsi="Times New Roman"/>
          <w:b w:val="false"/>
          <w:i w:val="false"/>
          <w:color w:val="000000"/>
          <w:sz w:val="22"/>
        </w:rPr>
        <w:t>Notice shall be served upon the licensee, registrant, or applicant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denial. </w:t>
      </w:r>
      <w:r>
        <w:rPr>
          <w:rFonts w:ascii="Times New Roman" w:hAnsi="Times New Roman"/>
          <w:b w:val="false"/>
          <w:i w:val="false"/>
          <w:color w:val="000000"/>
          <w:sz w:val="22"/>
        </w:rPr>
        <w:t>The effective date of the denial of issuance or renewal of a license or registration, as specified in the denial notice, shall be 60 days following service of the denial notice upon the licensee, registrant,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denial notice. </w:t>
      </w:r>
      <w:r>
        <w:rPr>
          <w:rFonts w:ascii="Times New Roman" w:hAnsi="Times New Roman"/>
          <w:b w:val="false"/>
          <w:i w:val="false"/>
          <w:color w:val="000000"/>
          <w:sz w:val="22"/>
        </w:rPr>
        <w:t>The executive director of the board is authorized to prepare and serve the denial notice upon the licensee, registrant,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w:t>
      </w:r>
      <w:r>
        <w:rPr>
          <w:rFonts w:ascii="Times New Roman" w:hAnsi="Times New Roman"/>
          <w:b w:val="false"/>
          <w:i w:val="false"/>
          <w:color w:val="000000"/>
          <w:sz w:val="22"/>
        </w:rPr>
        <w:t> </w:t>
      </w:r>
      <w:r>
        <w:rPr>
          <w:rFonts w:ascii="Times New Roman" w:hAnsi="Times New Roman"/>
          <w:b w:val="false"/>
          <w:i/>
          <w:color w:val="000000"/>
          <w:sz w:val="22"/>
        </w:rPr>
        <w:t xml:space="preserve">Licensee, registrant, or applicant responsible to inform board. </w:t>
      </w:r>
      <w:r>
        <w:rPr>
          <w:rFonts w:ascii="Times New Roman" w:hAnsi="Times New Roman"/>
          <w:b w:val="false"/>
          <w:i w:val="false"/>
          <w:color w:val="000000"/>
          <w:sz w:val="22"/>
        </w:rPr>
        <w:t>Licensees, registrants, and applicants shall keep the board informed of all court actions, and all child support unit actions taken under or in connection with the Act and shall provide the board copies, within seven days of filing or issuance, of all applications filed with the district court pursuant to the Act, all court orders entered in such actions, and any withdrawal of certificates issued by the child support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or registration denial. </w:t>
      </w:r>
      <w:r>
        <w:rPr>
          <w:rFonts w:ascii="Times New Roman" w:hAnsi="Times New Roman"/>
          <w:b w:val="false"/>
          <w:i w:val="false"/>
          <w:color w:val="000000"/>
          <w:sz w:val="22"/>
        </w:rPr>
        <w:t>All board fees required for application, license or registration renewal, or license or registration reinstatement shall be paid by licensees, registrants, or applicants before a license or registration will be issued, renewed, or reinstated after the board has denied the issuance or renewal of a license or registration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 licensee, registrant, or applicant files a timely district court action following service of a board notice, the board shall continue with the intended action described in the denial notice upon the receipt of a court order lifting the stay, dismissing the action, or otherwise directing the board to proceed. For purposes of determining the effective date of the denial of the issuance or renewal of a license or registration,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licensee, registrant, or applicant in writing through regular first-class mail, or such other means as the board determines appropriate in the circumstances, within ten days of the effective date of the denial of the issuance or renewal of a license or registration, and shall similarly notify the licensee, registrant, or applicant if the license or registration is issued or renewed following the board’s receipt of a withdrawal certificate.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