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650—32.6</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meetings. </w:t>
      </w:r>
      <w:r>
        <w:rPr>
          <w:rFonts w:ascii="Times New Roman" w:hAnsi="Times New Roman"/>
          <w:b w:val="false"/>
          <w:i w:val="false"/>
          <w:color w:val="000000"/>
          <w:sz w:val="22"/>
        </w:rPr>
        <w:t>In addition to any duties imposed by statute or rule, each mediator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Clarify the names of all participating parties present and facilitate agreement on the attendance of assisting parties at the mediation meeting, as well as the extent to which such persons may participate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Ensure that the parties understand that the mediator does not legally represent any of the parties and is neutral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Help the parties review any proposed solution to determine if it can be effectively implemented and to help the parties understand the consequences of the proposed solution.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