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Mediation process.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32.3(1)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Subsequent to an investigation by the board, the board may recommend mediation to address a dispute between a licensee or registrant and a patient.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32.3(2)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mediation is recommended by the board, the board shall notify the licensee or registrant, the patient and a mediation center of the recommendation within 30 days.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32.3(3)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receipt of a mediation request from the board, the mediation center shall provide the parties with a written statement setting forth the center’s established procedures and the cost, if any, prior to each mediation session.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32.3(4)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mediation is agreed upon by the parties involved, the mediation center shall schedule a mediation at a time and place convenient and neutral to the parties and the mediator.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