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650—32.10</w:t>
      </w:r>
      <w:r>
        <w:rPr>
          <w:rFonts w:ascii="Times New Roman" w:hAnsi="Times New Roman"/>
          <w:b/>
          <w:i w:val="false"/>
          <w:color w:val="000000"/>
          <w:sz w:val="22"/>
        </w:rPr>
        <w:t xml:space="preserve">(679) </w:t>
      </w:r>
      <w:r>
        <w:rPr>
          <w:rFonts w:ascii="Times New Roman" w:hAnsi="Times New Roman"/>
          <w:b/>
          <w:i w:val="false"/>
          <w:color w:val="000000"/>
          <w:sz w:val="22"/>
        </w:rPr>
        <w:t xml:space="preserve">Mediator immunity. </w:t>
      </w:r>
      <w:r>
        <w:rPr>
          <w:rFonts w:ascii="Times New Roman" w:hAnsi="Times New Roman"/>
          <w:b w:val="false"/>
          <w:i w:val="false"/>
          <w:color w:val="000000"/>
          <w:sz w:val="22"/>
        </w:rPr>
        <w:t>No mediator, employee or agent of a center, or member of a center’s board may be held liable for civil damages for any statement or decision made in the process of mediation unless the mediator, employee, agent or member acted in bad faith, with malicious purpose or in a manner exhibiting willful and wanton disregard of human rights, safety or property.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