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650—31.6</w:t>
      </w:r>
      <w:r>
        <w:rPr>
          <w:rFonts w:ascii="Times New Roman" w:hAnsi="Times New Roman"/>
          <w:b/>
          <w:i w:val="false"/>
          <w:color w:val="000000"/>
          <w:sz w:val="22"/>
        </w:rPr>
        <w:t xml:space="preserve">(153) </w:t>
      </w:r>
      <w:r>
        <w:rPr>
          <w:rFonts w:ascii="Times New Roman" w:hAnsi="Times New Roman"/>
          <w:b/>
          <w:i w:val="false"/>
          <w:color w:val="000000"/>
          <w:sz w:val="22"/>
        </w:rPr>
        <w:t xml:space="preserve">Board appearances. </w:t>
      </w:r>
      <w:r>
        <w:rPr>
          <w:rFonts w:ascii="Times New Roman" w:hAnsi="Times New Roman"/>
          <w:b w:val="false"/>
          <w:i w:val="false"/>
          <w:color w:val="000000"/>
          <w:sz w:val="22"/>
        </w:rPr>
        <w:t>The board may request a licensee or registrant to appear before the board to discuss a pending investigation. By electing to participate in the board appearance, the licensee or registrant waives any objection to a board member’s both participating in the appearance and later participating as a decision maker in a contested case proceeding on the grounds of a personal investigation and a combination of investigative and adjudicative functions. If the executive director participates in the appearance, the licensee or registrant further waives any objection to having the executive director assist the board in the contested case proceeding.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