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650—31.5</w:t>
      </w:r>
      <w:r>
        <w:rPr>
          <w:rFonts w:ascii="Times New Roman" w:hAnsi="Times New Roman"/>
          <w:b/>
          <w:i w:val="false"/>
          <w:color w:val="000000"/>
          <w:sz w:val="22"/>
        </w:rPr>
        <w:t xml:space="preserve">(153) </w:t>
      </w:r>
      <w:r>
        <w:rPr>
          <w:rFonts w:ascii="Times New Roman" w:hAnsi="Times New Roman"/>
          <w:b/>
          <w:i w:val="false"/>
          <w:color w:val="000000"/>
          <w:sz w:val="22"/>
        </w:rPr>
        <w:t xml:space="preserve">Issuance of investigatory subpoenas. </w:t>
      </w:r>
      <w:r>
        <w:rPr>
          <w:rFonts w:ascii="Times New Roman" w:hAnsi="Times New Roman"/>
          <w:b w:val="false"/>
          <w:i w:val="false"/>
          <w:color w:val="000000"/>
          <w:sz w:val="22"/>
        </w:rPr>
        <w:t xml:space="preserve">Pursuant to Iowa Code sections </w:t>
      </w:r>
      <w:hyperlink r:id="rId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the board has the authority to issue an investigatory subpoena to compel the production of evidence deemed necessary in connection with a licensee disciplinary investigation. A subpoena issued by the board in connection with a licensee disciplinary investigation may seek evidence whether or not it is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or designee may, upon the written request of a board investigator or on the director’s own initiative, subpoena books, correspondence, papers, records, and other real evidence which is necessary for the board to decide whether to institute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subpoena or the director’s written memorandum in support of the issuance of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6">
        <w:r>
          <w:rPr>
            <w:rStyle w:val="Hyperlink"/>
            <w:rFonts w:ascii="Times New Roman" w:hAnsi="Times New Roman"/>
            <w:b w:val="false"/>
            <w:i w:val="false"/>
            <w:color w:val="000000"/>
            <w:sz w:val="22"/>
          </w:rPr>
          <w:t>31.5(1)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hold a hearing and issue a decision, or the board may conduct a hearing and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31.5(6)</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31.5(7)</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the investigation has been concluded with no formal action, or there is a final decision in the contested case.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272C.6.pdf" Type="http://schemas.openxmlformats.org/officeDocument/2006/relationships/hyperlink" Id="rId5"/>
    <Relationship TargetMode="External" Target="https://www.legis.iowa.gov/docs/iac/rule/650.31.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