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650—31.3</w:t>
      </w:r>
      <w:r>
        <w:rPr>
          <w:rFonts w:ascii="Times New Roman" w:hAnsi="Times New Roman"/>
          <w:b/>
          <w:i w:val="false"/>
          <w:color w:val="000000"/>
          <w:sz w:val="22"/>
        </w:rPr>
        <w:t xml:space="preserve">(153) </w:t>
      </w:r>
      <w:r>
        <w:rPr>
          <w:rFonts w:ascii="Times New Roman" w:hAnsi="Times New Roman"/>
          <w:b/>
          <w:i w:val="false"/>
          <w:color w:val="000000"/>
          <w:sz w:val="22"/>
        </w:rPr>
        <w:t xml:space="preserve">Address. </w:t>
      </w:r>
      <w:r>
        <w:rPr>
          <w:rFonts w:ascii="Times New Roman" w:hAnsi="Times New Roman"/>
          <w:b w:val="false"/>
          <w:i w:val="false"/>
          <w:color w:val="000000"/>
          <w:sz w:val="22"/>
        </w:rPr>
        <w:t>The written complaint may be delivered personally, electronically or by mail to the executive director of the board. The current office address is 400 S.W. 8th Street, Suite D, Des Moines, Iowa 50309-4687.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