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Immunities.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shall not be civilly liable as a result of filing a report or complaint with the board, or for the disclosure to the board or its agents or employees, whether or not pursuant to a subpoena of records, documents, testimony or other forms of information which constitute privileged matter concerning a recipient of health care services or some other person, in connection with proceedings of a peer review committee, or in connection with duties of the board. However, immunity from civil liability shall not apply if the act is done with malice.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