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650—31.13</w:t>
      </w:r>
      <w:r>
        <w:rPr>
          <w:rFonts w:ascii="Times New Roman" w:hAnsi="Times New Roman"/>
          <w:b/>
          <w:i w:val="false"/>
          <w:color w:val="000000"/>
          <w:sz w:val="22"/>
        </w:rPr>
        <w:t xml:space="preserve">(272C) </w:t>
      </w:r>
      <w:r>
        <w:rPr>
          <w:rFonts w:ascii="Times New Roman" w:hAnsi="Times New Roman"/>
          <w:b/>
          <w:i w:val="false"/>
          <w:color w:val="000000"/>
          <w:sz w:val="22"/>
        </w:rPr>
        <w:t xml:space="preserve">Mandatory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“Knowledge” </w:t>
      </w:r>
      <w:r>
        <w:rPr>
          <w:rFonts w:ascii="Times New Roman" w:hAnsi="Times New Roman"/>
          <w:b w:val="false"/>
          <w:i w:val="false"/>
          <w:color w:val="000000"/>
          <w:sz w:val="22"/>
        </w:rPr>
        <w:t>means any information or evidence acquired from personal observation, from a reliable or authoritative source, or under circumstances that cause the licensee or registrant to believe that there exists a substantial likelihood that an act or omission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“Reportable act or omission” </w:t>
      </w:r>
      <w:r>
        <w:rPr>
          <w:rFonts w:ascii="Times New Roman" w:hAnsi="Times New Roman"/>
          <w:b w:val="false"/>
          <w:i w:val="false"/>
          <w:color w:val="000000"/>
          <w:sz w:val="22"/>
        </w:rPr>
        <w:t>means any conduct that may constitute a basis for disciplinary action under the rules or statutory provisions governing the practice of dentistry, dental hygiene, or dental assisting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 </w:t>
      </w:r>
      <w:r>
        <w:rPr>
          <w:rFonts w:ascii="Times New Roman" w:hAnsi="Times New Roman"/>
          <w:b w:val="false"/>
          <w:i w:val="false"/>
          <w:color w:val="000000"/>
          <w:sz w:val="22"/>
        </w:rPr>
        <w:t>A report shall be filed with the board when a licensee or registrant has knowledge that another person licensed or registered by the board may have committed a reportable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shall be filed with the board within 30 days from the date the licensee or registrant acquires knowledge of the reportable act or omission. However, in the event such reportable act or omission poses an immediate threat to patient safety, the report shall be filed within 24 hours from the date the licensee or registrant acquires knowledge of the reportable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name and the address of the licensee or registrant who may have committed the reportable act or omission, the date, time, place and circumstances in which the reportable act or omission may have occurred, and a statement indicating how the knowledge was acquired.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to report takes effect when a licensee or registrant has knowledge that another licensee or registrant may have committed a reportable act or omission. The final determination of whether or not such act or omission has occurred is the responsibility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31.13(3)</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r>
        <w:rPr>
          <w:rFonts w:ascii="Times New Roman" w:hAnsi="Times New Roman"/>
          <w:b w:val="false"/>
          <w:i w:val="false"/>
          <w:color w:val="000000"/>
          <w:sz w:val="22"/>
        </w:rPr>
        <w:t>Failure to report knowledge of a reportable act or omission within the required time period shall constitute a basis for the initiation of a board disciplinary action against the licensee or registrant who failed to report.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