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650—31.12</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reports of judgments and settlements. </w:t>
      </w:r>
      <w:r>
        <w:rPr>
          <w:rFonts w:ascii="Times New Roman" w:hAnsi="Times New Roman"/>
          <w:b w:val="false"/>
          <w:i w:val="false"/>
          <w:color w:val="000000"/>
          <w:sz w:val="22"/>
        </w:rPr>
        <w:t>Reports received by the board from the commissioner of insurance, insurance carriers and licensees or registrants involving adverse judgments in a professional malpractice action, and settlement of claims alleging malpractice, shall be reviewed and investigated by the board in the same manner as is prescribed in these rules for the review and investigation of complaints.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