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650—31.11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Reporting of judgments or settlements.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licensee or registrant shall report to the board every adverse judgment in a malpractice action to which the licensee or registrant is a party and every settlement of a claim against the licensee or registrant alleging malpractice. The report together with a copy of the judgment or settlement must be filed with the board within 30 days from the date of said judgment or settlement.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