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650—31.10</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of investigative files. </w:t>
      </w:r>
      <w:r>
        <w:rPr>
          <w:rFonts w:ascii="Times New Roman" w:hAnsi="Times New Roman"/>
          <w:b w:val="false"/>
          <w:i w:val="false"/>
          <w:color w:val="000000"/>
          <w:sz w:val="22"/>
        </w:rPr>
        <w:t>Complaint files, investigation files, all other investigation reports, and other investigative information in the possession of the board or peer review committee acting under the authority of the board or its employees or agents which relate to licensee or registrant discipline shall be privileged and confidential, and shall not be subject to discovery, subpoena, or other means of legal compulsion for their release to any person other than the licensee or registrant and the board, its employees and agents involved in licensee or registrant discipline, or be admissible in evidence in any judicial or administrative proceeding other than the proceeding involving licensee or registrant discipline. However, a final written decision and finding of fact of the board in a disciplinary proceeding shall be public record.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