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650—31.1</w:t>
      </w:r>
      <w:r>
        <w:rPr>
          <w:rFonts w:ascii="Times New Roman" w:hAnsi="Times New Roman"/>
          <w:b/>
          <w:i w:val="false"/>
          <w:color w:val="000000"/>
          <w:sz w:val="22"/>
        </w:rPr>
        <w:t xml:space="preserve">(272C) </w:t>
      </w:r>
      <w:r>
        <w:rPr>
          <w:rFonts w:ascii="Times New Roman" w:hAnsi="Times New Roman"/>
          <w:b/>
          <w:i w:val="false"/>
          <w:color w:val="000000"/>
          <w:sz w:val="22"/>
        </w:rPr>
        <w:t xml:space="preserve">Complaint review. </w:t>
      </w:r>
      <w:r>
        <w:rPr>
          <w:rFonts w:ascii="Times New Roman" w:hAnsi="Times New Roman"/>
          <w:b w:val="false"/>
          <w:i w:val="false"/>
          <w:color w:val="000000"/>
          <w:sz w:val="22"/>
        </w:rPr>
        <w:t>The board shall, upon receipt of a complaint, or may upon its own motion, pursuant to other evidence received by the board, review and investigate alleged acts or omissions which the board reasonably believes constitute cause under applicable law or administrative rule for licensee or registrant discipline. All complaints regarding the practice of dental hygiene will be initially directed to the dental hygiene committee. The committee shall review the complaint and make a recommendation to the board.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