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650—30.4</w:t>
      </w:r>
      <w:r>
        <w:rPr>
          <w:rFonts w:ascii="Times New Roman" w:hAnsi="Times New Roman"/>
          <w:b/>
          <w:i w:val="false"/>
          <w:color w:val="000000"/>
          <w:sz w:val="22"/>
        </w:rPr>
        <w:t xml:space="preserve">(147,153,272C)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The following shall constitute grounds for the imposition by the board of one or more of the disciplinary sanctions set forth in rule 650—30.2(153), specifically including the imposition of civil penalties not to exceed $10,000. This rule is not subject to waiver pursuant to 650—Chapter 7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30.4(1)</w:t>
      </w:r>
      <w:r>
        <w:rPr>
          <w:rFonts w:ascii="Times New Roman" w:hAnsi="Times New Roman"/>
          <w:b w:val="false"/>
          <w:i w:val="false"/>
          <w:color w:val="000000"/>
          <w:sz w:val="22"/>
        </w:rPr>
        <w:t> </w:t>
      </w:r>
      <w:r>
        <w:rPr>
          <w:rFonts w:ascii="Times New Roman" w:hAnsi="Times New Roman"/>
          <w:b w:val="false"/>
          <w:i w:val="false"/>
          <w:color w:val="000000"/>
          <w:sz w:val="22"/>
        </w:rPr>
        <w:t>The board may impose discipline for the following violations related to licensure and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Fraud or deceit in procuring or renewing any license, permit, or registration, including any false or misleading statement of a material fact or omission of information required to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Engaging in the practice of dentistry, dental hygiene, or dental assisting with a lapsed or inactive license, permit, or registration, or engaging in dental radiography with a lapsed or inactive dental radiography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Engaging in the practice of dentistry, dental hygiene, or dental assisting without a license, permit, or registration, or engaging in dental radiography without a dental radiography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Employing or permitting an unlicensed or unregistered person or a person with a lapsed or inactive license, permit, or registration to practice dentistry, dental hygiene, or dental assisting;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Encouraging, assisting, or enabling in any manner the unauthorized practice of dentistry, dental hygiene, or dental assisting;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prominently display the names of all persons who are practicing dentistry, dental hygiene, or dental assisting within an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30.4(2)</w:t>
      </w:r>
      <w:r>
        <w:rPr>
          <w:rFonts w:ascii="Times New Roman" w:hAnsi="Times New Roman"/>
          <w:b w:val="false"/>
          <w:i w:val="false"/>
          <w:color w:val="000000"/>
          <w:sz w:val="22"/>
        </w:rPr>
        <w:t> </w:t>
      </w:r>
      <w:r>
        <w:rPr>
          <w:rFonts w:ascii="Times New Roman" w:hAnsi="Times New Roman"/>
          <w:b w:val="false"/>
          <w:i w:val="false"/>
          <w:color w:val="000000"/>
          <w:sz w:val="22"/>
        </w:rPr>
        <w:t>The board may impose discipline for the following violations related to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 as to skill or ability, whether by words or conduct or concealment of that which should have been disclosed, including but not limited to violations of 650—Chapter 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licensee’s or registrant’s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Practicing dentistry, dental hygiene, or dental assisting in a manner that is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Being convicted of an offense that directly relates to the duties and responsibilities of the profession. A conviction includes a guilty plea, including Alford and nolo contendere pleas, or a finding or verdict of guilt, even if the adjudication of guilt is deferred, withheld, or not entered. A copy of the guilty plea or order of conviction constitutes conclusive evidence of conviction. An offense directly relates to the duties and responsibilities of the profession if the actions taken in furtherance of the offense are actions customarily performed within the scope of practice of the profession or the circumstances under which the offense was committed are circumstances customary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Improper sexual contact with, or making suggestive, lewd, lascivious or improper remarks or advances to, a patient or a coworker;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Actions which are abusive, coercive, intimidating, harassing, untruthful, or threatening in the practice of dentistry;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Obtaining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Giving or receiving cash or cash equivalents, or giving or receiving any gifts exceeding nominal value, for referral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to transfer patient records to another licensee upon request;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Unprofessional or unethical conduct including, but not limited to, those acts defined by Iowa Code section </w:t>
      </w:r>
      <w:hyperlink r:id="rId4">
        <w:r>
          <w:rPr>
            <w:rStyle w:val="Hyperlink"/>
            <w:rFonts w:ascii="Times New Roman" w:hAnsi="Times New Roman"/>
            <w:b w:val="false"/>
            <w:i w:val="false"/>
            <w:color w:val="000000"/>
            <w:sz w:val="22"/>
          </w:rPr>
          <w:t>153.32</w:t>
        </w:r>
      </w:hyperlink>
      <w:r>
        <w:rPr>
          <w:rFonts w:ascii="Times New Roman" w:hAnsi="Times New Roman"/>
          <w:b w:val="false"/>
          <w:i w:val="false"/>
          <w:color w:val="000000"/>
          <w:sz w:val="22"/>
        </w:rPr>
        <w:t xml:space="preserve"> or any violation of 650—Chapter 27.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30.4(3)</w:t>
      </w:r>
      <w:r>
        <w:rPr>
          <w:rFonts w:ascii="Times New Roman" w:hAnsi="Times New Roman"/>
          <w:b w:val="false"/>
          <w:i w:val="false"/>
          <w:color w:val="000000"/>
          <w:sz w:val="22"/>
        </w:rPr>
        <w:t> </w:t>
      </w:r>
      <w:r>
        <w:rPr>
          <w:rFonts w:ascii="Times New Roman" w:hAnsi="Times New Roman"/>
          <w:b w:val="false"/>
          <w:i w:val="false"/>
          <w:color w:val="000000"/>
          <w:sz w:val="22"/>
        </w:rPr>
        <w:t>The board may impose discipline for the following violations related to the ability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Habitual use of drugs or intoxicants rendering the licensee or registrant unfit for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Practicing dentistry, dental hygiene, or dental assisting while in a state of advanced physical or mental disability where such disability renders the licensee or registrant incapable of performing professional services or impairs functions of judgment necessary to the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30.4(4)</w:t>
      </w:r>
      <w:r>
        <w:rPr>
          <w:rFonts w:ascii="Times New Roman" w:hAnsi="Times New Roman"/>
          <w:b w:val="false"/>
          <w:i w:val="false"/>
          <w:color w:val="000000"/>
          <w:sz w:val="22"/>
        </w:rPr>
        <w:t> </w:t>
      </w:r>
      <w:r>
        <w:rPr>
          <w:rFonts w:ascii="Times New Roman" w:hAnsi="Times New Roman"/>
          <w:b w:val="false"/>
          <w:i w:val="false"/>
          <w:color w:val="000000"/>
          <w:sz w:val="22"/>
        </w:rPr>
        <w:t>The board may impose discipline for the following violations related to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Willful and gross malpractice;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Willful and gross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maintain a satisfactory standard of 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preserve the confidentiality of patient information or accessing any confidential patient information without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Practicing beyond training;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Delegating any acts to any licensee or registrant that are beyond the training or education of the licensee or registrant, or that are otherwise prohibited by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30.4(5)</w:t>
      </w:r>
      <w:r>
        <w:rPr>
          <w:rFonts w:ascii="Times New Roman" w:hAnsi="Times New Roman"/>
          <w:b w:val="false"/>
          <w:i w:val="false"/>
          <w:color w:val="000000"/>
          <w:sz w:val="22"/>
        </w:rPr>
        <w:t> </w:t>
      </w:r>
      <w:r>
        <w:rPr>
          <w:rFonts w:ascii="Times New Roman" w:hAnsi="Times New Roman"/>
          <w:b w:val="false"/>
          <w:i w:val="false"/>
          <w:color w:val="000000"/>
          <w:sz w:val="22"/>
        </w:rPr>
        <w:t>The board may impose discipline for the following violations related to prescribing: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Violating the rules governing prescribing, including any violation of 650—Chapter 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Improperly delegating access to the Iowa prescription monitoring program (PMP) to an unauthorized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Indiscriminately or promiscuously prescribing, administering, or dispensing any drug;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check the PMP prior to prescribing an opioid;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Prescribing opioids in dosage amounts exceeding what would be prescribed by a reasonably prudent prescribing practitioner engaged in a similar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30.4(6)</w:t>
      </w:r>
      <w:r>
        <w:rPr>
          <w:rFonts w:ascii="Times New Roman" w:hAnsi="Times New Roman"/>
          <w:b w:val="false"/>
          <w:i w:val="false"/>
          <w:color w:val="000000"/>
          <w:sz w:val="22"/>
        </w:rPr>
        <w:t> </w:t>
      </w:r>
      <w:r>
        <w:rPr>
          <w:rFonts w:ascii="Times New Roman" w:hAnsi="Times New Roman"/>
          <w:b w:val="false"/>
          <w:i w:val="false"/>
          <w:color w:val="000000"/>
          <w:sz w:val="22"/>
        </w:rPr>
        <w:t>The board may impose discipline for the following violations related to infection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maintain adequate safety and sanitary conditions for a dental office;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standard precautions for preventing and controlling infectious diseases and managing personnel health and safety concerns related to infection control, as “required” or “recommended” for dentistry by the Centers for Disease Control and Prevention of the United States Department of Health and Human Services and the Iowa occupational safety and health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30.4(7)</w:t>
      </w:r>
      <w:r>
        <w:rPr>
          <w:rFonts w:ascii="Times New Roman" w:hAnsi="Times New Roman"/>
          <w:b w:val="false"/>
          <w:i w:val="false"/>
          <w:color w:val="000000"/>
          <w:sz w:val="22"/>
        </w:rPr>
        <w:t> </w:t>
      </w:r>
      <w:r>
        <w:rPr>
          <w:rFonts w:ascii="Times New Roman" w:hAnsi="Times New Roman"/>
          <w:b w:val="false"/>
          <w:i w:val="false"/>
          <w:color w:val="000000"/>
          <w:sz w:val="22"/>
        </w:rPr>
        <w:t>The board may impose discipline for the following violations related to reporting, compliance, and other state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notify the board of change of address within 60 days;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report disciplinary action taken by a licensing authority of another state, territory or country, or another licensing authority in this state, within 30 days of the final action by the licensing authority. A stay by an appellate court shall not negate this requirement; however, if the disciplinary action is overturned or reversed by a court of last resort, the report shall be expunged from the records of the board when the board is so notified;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Having a license or registration revoked, suspended, or otherwise disciplined by a licensing authority in any state,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report any adverse judgment in a professional malpractice action to which the licensee or registrant was a party or any settlement of a claim against the licensee or registrant alleging malpractice;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an order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Violating any provision of Iowa law or rule of the board, or being a party to or assisting in any violation of any provision of Iowa law or rule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report any restriction of practice imposed by a hospital, clinic, or other practicing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Failure to report any misdemeanor or felony conviction within 60 days, excluding traffic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 Iowa practitioner review committee (IPRC) initial agreement or contract;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Failure to report to the board any acts or omissions made by other licensees or registrants of the board that may constitute a basis for disciplinary action under the rules of statutory provisions governing the practice of dentistry, dental hygiene, or dental assisting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adverse occurrences related to sedation, nitrous oxide inhalation analgesia, and antianxiety premedication pursuant to 650—Chapter 29.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30.4(8)</w:t>
      </w:r>
      <w:r>
        <w:rPr>
          <w:rFonts w:ascii="Times New Roman" w:hAnsi="Times New Roman"/>
          <w:b w:val="false"/>
          <w:i w:val="false"/>
          <w:color w:val="000000"/>
          <w:sz w:val="22"/>
        </w:rPr>
        <w:t> </w:t>
      </w:r>
      <w:r>
        <w:rPr>
          <w:rFonts w:ascii="Times New Roman" w:hAnsi="Times New Roman"/>
          <w:b w:val="false"/>
          <w:i w:val="false"/>
          <w:color w:val="000000"/>
          <w:sz w:val="22"/>
        </w:rPr>
        <w:t>The board may impose discipline for the following violations related to board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Knowingly providing false information to the board or an agent of the board during the course of an inspection or investigation or interfering with an inspection or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 subpoena issued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fully and promptly comply with office inspections conducted at the request of the board to determine compliance with sanitation and infection control standards or sedation permit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cooperate with a board investigation;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Retaliating against, threatening, or coercing any person for filing a complaint with the board or cooperating with a board inspection or 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impose discipline for the following violations related to continuing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respond to the board during a continuing education audit, or failure to submit verification of continuing education requirements within the time period provided;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submitting a false report of continuing education;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meet the required continuing education hours per biennium.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4409C</w:t>
      </w:r>
      <w:r>
        <w:rPr>
          <w:rFonts w:ascii="Times New Roman" w:hAnsi="Times New Roman"/>
          <w:b w:val="false"/>
          <w:i w:val="false"/>
          <w:color w:val="000000"/>
          <w:sz w:val="16"/>
        </w:rPr>
        <w:t>, IAB 4/24/19, effective 5/29/19</w:t>
      </w:r>
      <w:r>
        <w:rPr>
          <w:rFonts w:ascii="Times New Roman" w:hAnsi="Times New Roman"/>
          <w:b w:val="false"/>
          <w:i w:val="false"/>
          <w:color w:val="000000"/>
          <w:sz w:val="16"/>
        </w:rPr>
        <w:t xml:space="preserve">; </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3.3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