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Discretion of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factors may be considered by the board in determining the nature and severity of the disciplinary sanction to be imposed: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relative seriousness of the violation as it relates to assuring the citizens of this state a high standard of professional care.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facts of the particular violation.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extenuating circumstances or other countervailing considerations.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prior violations or complaints.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Seriousness of prior violations or complaints.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remedial action has been taken.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Such other factors as may reflect upon the competency, ethical standards and professional conduct of the licensee or registrant.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