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650—29.8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Facility and equipment requirements for moderate sedation, deep sedation or general anesthesia.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Change of address or addition of facility location(s). A permit holder shall notify the board office in writing within 60 days of a change in location or the addition of a sedation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Facilities shall be permanently equipped. A dentist who administers moderate sedation, deep sedation or general anesthesia in a facility is required to be trained in and maintain, at a minimum, the following equipment to be properly equipped: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Electrocardiogram (EKG) monitor;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Positive pressure oxygen;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Suction;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Laryngoscope and blades;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Endotracheal tubes;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Magill forceps;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Oral airways;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Stethoscope;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Blood pressure monitoring device;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Pulse oximeter;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k.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Emergency drugs;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l.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Defibrillator;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Capnography machine to monitor end-tidal carbon dioxide;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n.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Pretracheal or precordial stethoscope;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o.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additional equipment necessary to establish intravascular or intraosseous access, which shall be available until the patient meets discharge criteria.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or designated agents of the board may conduct facility inspections. The actual costs associated with the on-site evaluation of the facility shall be the primary responsibility of the licensee. The cost to the licensee shall not exceed the fee specified in 650—Chapter 15.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4556C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7/17/19, effective 8/21/19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