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650—29.7</w:t>
      </w:r>
      <w:r>
        <w:rPr>
          <w:rFonts w:ascii="Times New Roman" w:hAnsi="Times New Roman"/>
          <w:b/>
          <w:i w:val="false"/>
          <w:color w:val="000000"/>
          <w:sz w:val="22"/>
        </w:rPr>
        <w:t xml:space="preserve">(153) </w:t>
      </w:r>
      <w:r>
        <w:rPr>
          <w:rFonts w:ascii="Times New Roman" w:hAnsi="Times New Roman"/>
          <w:b/>
          <w:i w:val="false"/>
          <w:color w:val="000000"/>
          <w:sz w:val="22"/>
        </w:rPr>
        <w:t xml:space="preserve">Deep sedation or general anesthesia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29.7(1)</w:t>
      </w:r>
      <w:r>
        <w:rPr>
          <w:rFonts w:ascii="Times New Roman" w:hAnsi="Times New Roman"/>
          <w:b w:val="false"/>
          <w:i w:val="false"/>
          <w:color w:val="000000"/>
          <w:sz w:val="22"/>
        </w:rPr>
        <w:t> </w:t>
      </w:r>
      <w:r>
        <w:rPr>
          <w:rFonts w:ascii="Times New Roman" w:hAnsi="Times New Roman"/>
          <w:b w:val="false"/>
          <w:i w:val="false"/>
          <w:color w:val="000000"/>
          <w:sz w:val="22"/>
        </w:rPr>
        <w:t>The administration of anesthetic sedative agents intended for deep sedation or general anesthesia, including but not limited to Propofol, Ketamine and Dilaudid, shall constitute deep sedation or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29.7(2)</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shall have at least two patient monitors observe the patient while the patient is under deep sedation or general anesthesia. The patient monitors who observe patients under deep sedation or general anesthesia shall be capable of administering emergency support and shall have completed one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ACLS or PALS certification;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 DAANCE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29.7(3)</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shall use capnography and a pretracheal/precordial stethoscope.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dentist has a recovery area separate from the operatory, the recovery area must have oxygen and suction equipment.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