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650—29.6</w:t>
      </w:r>
      <w:r>
        <w:rPr>
          <w:rFonts w:ascii="Times New Roman" w:hAnsi="Times New Roman"/>
          <w:b/>
          <w:i w:val="false"/>
          <w:color w:val="000000"/>
          <w:sz w:val="22"/>
        </w:rPr>
        <w:t xml:space="preserve">(153) </w:t>
      </w:r>
      <w:r>
        <w:rPr>
          <w:rFonts w:ascii="Times New Roman" w:hAnsi="Times New Roman"/>
          <w:b/>
          <w:i w:val="false"/>
          <w:color w:val="000000"/>
          <w:sz w:val="22"/>
        </w:rPr>
        <w:t xml:space="preserve">Moderate sedation 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29.6(1)</w:t>
      </w:r>
      <w:r>
        <w:rPr>
          <w:rFonts w:ascii="Times New Roman" w:hAnsi="Times New Roman"/>
          <w:b w:val="false"/>
          <w:i w:val="false"/>
          <w:color w:val="000000"/>
          <w:sz w:val="22"/>
        </w:rPr>
        <w:t> </w:t>
      </w:r>
      <w:r>
        <w:rPr>
          <w:rFonts w:ascii="Times New Roman" w:hAnsi="Times New Roman"/>
          <w:b w:val="false"/>
          <w:i w:val="false"/>
          <w:color w:val="000000"/>
          <w:sz w:val="22"/>
        </w:rPr>
        <w:t>Moderate sedation for ASA I or II nonpediatric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dentist may prescribe or administer a single enteral drug in excess of the MRD on the day of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dentist may prescribe or administer a combination of more than one enteral drug.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dentist may administer a medication for moderate sedation via the parenteral route.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dentist may administer a medication for moderate sedation via the parenteral route in incremental doses.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dentist shall ensure the drug(s) or techniques, or both, carry a margin of safety wide enough to render unintended loss of consciousness unlikely.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 dentist may administer nitrous oxide with more than one enteral drug.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29.6(2)</w:t>
      </w:r>
      <w:r>
        <w:rPr>
          <w:rFonts w:ascii="Times New Roman" w:hAnsi="Times New Roman"/>
          <w:b w:val="false"/>
          <w:i w:val="false"/>
          <w:color w:val="000000"/>
          <w:sz w:val="22"/>
        </w:rPr>
        <w:t> </w:t>
      </w:r>
      <w:r>
        <w:rPr>
          <w:rFonts w:ascii="Times New Roman" w:hAnsi="Times New Roman"/>
          <w:b w:val="false"/>
          <w:i w:val="false"/>
          <w:color w:val="000000"/>
          <w:sz w:val="22"/>
        </w:rPr>
        <w:t>Moderate sedation for ASA III, ASA IV or pediatric patients. A dentist who does not meet the requirements of paragraph 29.11(3)</w:t>
      </w:r>
      <w:r>
        <w:rPr>
          <w:rFonts w:ascii="Times New Roman" w:hAnsi="Times New Roman"/>
          <w:b w:val="false"/>
          <w:i/>
          <w:color w:val="000000"/>
          <w:sz w:val="22"/>
        </w:rPr>
        <w:t>“c”</w:t>
      </w:r>
      <w:r>
        <w:rPr>
          <w:rFonts w:ascii="Times New Roman" w:hAnsi="Times New Roman"/>
          <w:b w:val="false"/>
          <w:i w:val="false"/>
          <w:color w:val="000000"/>
          <w:sz w:val="22"/>
        </w:rPr>
        <w:t xml:space="preserve"> is prohibited from administering moderate sedation to pediatric or ASA III or IV patients. The following constitutes moderate sedation: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use of one or more enteral drugs in combination with nitrous oxide.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administration of any intravenous drug.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29.6(3)</w:t>
      </w:r>
      <w:r>
        <w:rPr>
          <w:rFonts w:ascii="Times New Roman" w:hAnsi="Times New Roman"/>
          <w:b w:val="false"/>
          <w:i w:val="false"/>
          <w:color w:val="000000"/>
          <w:sz w:val="22"/>
        </w:rPr>
        <w:t> </w:t>
      </w:r>
      <w:r>
        <w:rPr>
          <w:rFonts w:ascii="Times New Roman" w:hAnsi="Times New Roman"/>
          <w:b w:val="false"/>
          <w:i w:val="false"/>
          <w:color w:val="000000"/>
          <w:sz w:val="22"/>
        </w:rPr>
        <w:t xml:space="preserve">A dentist administering moderate sedation in a facility shall have at least one patient monitor observe the patient while under moderate sedation. The patient monitor shall be capable of administering emergency support and shall complete one of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minimum of three hours of on-site training in airway management that provides the knowledge and skills necessary for a patient monitor to competently assist with emergencies including, but not limited to, recognizing apnea and airway obstruction;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Current ACLS or PALS certification;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Current DAANCE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29.6(4)</w:t>
      </w:r>
      <w:r>
        <w:rPr>
          <w:rFonts w:ascii="Times New Roman" w:hAnsi="Times New Roman"/>
          <w:b w:val="false"/>
          <w:i w:val="false"/>
          <w:color w:val="000000"/>
          <w:sz w:val="22"/>
        </w:rPr>
        <w:t> </w:t>
      </w:r>
      <w:r>
        <w:rPr>
          <w:rFonts w:ascii="Times New Roman" w:hAnsi="Times New Roman"/>
          <w:b w:val="false"/>
          <w:i w:val="false"/>
          <w:color w:val="000000"/>
          <w:sz w:val="22"/>
        </w:rPr>
        <w:t>Use of capnography or pretracheal/precordial stethoscope is required for moderate sedation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All moderate sedation permit holders shall use capnography to monitor end-tidal carbon dioxide unless the use of capnography is precluded or invalidated by the nature of the patient, procedure or equipment.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cases where the use of capnography is precluded or invalidated for the reasons listed previously, a pretracheal or precordial stethoscope must be used to continually monitor the auscultation of breath sounds at all facilities where licensed sedation providers provide sedation.</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4556C</w:t>
      </w:r>
      <w:r>
        <w:rPr>
          <w:rFonts w:ascii="Times New Roman" w:hAnsi="Times New Roman"/>
          <w:b w:val="false"/>
          <w:i w:val="false"/>
          <w:color w:val="000000"/>
          <w:sz w:val="16"/>
        </w:rPr>
        <w:t>, IAB 7/17/19, effective 8/21/19</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